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附件一：采购需</w:t>
      </w:r>
      <w:bookmarkStart w:id="0" w:name="_GoBack"/>
      <w:bookmarkEnd w:id="0"/>
      <w:r>
        <w:rPr>
          <w:rFonts w:hint="eastAsia"/>
          <w:lang w:val="en-US" w:eastAsia="zh-CN"/>
        </w:rPr>
        <w:t>求</w:t>
      </w:r>
    </w:p>
    <w:p>
      <w:pPr>
        <w:numPr>
          <w:ilvl w:val="0"/>
          <w:numId w:val="1"/>
        </w:numPr>
        <w:outlineLvl w:val="0"/>
        <w:rPr>
          <w:sz w:val="24"/>
        </w:rPr>
      </w:pPr>
      <w:r>
        <w:rPr>
          <w:rFonts w:hint="eastAsia"/>
          <w:sz w:val="24"/>
        </w:rPr>
        <w:t>采购需求</w:t>
      </w:r>
    </w:p>
    <w:p>
      <w:pPr>
        <w:numPr>
          <w:ilvl w:val="1"/>
          <w:numId w:val="1"/>
        </w:numPr>
        <w:spacing w:line="360" w:lineRule="auto"/>
        <w:outlineLvl w:val="1"/>
        <w:rPr>
          <w:rFonts w:ascii="宋体" w:hAnsi="宋体"/>
          <w:sz w:val="24"/>
        </w:rPr>
      </w:pPr>
      <w:r>
        <w:rPr>
          <w:rFonts w:hint="eastAsia" w:ascii="宋体" w:hAnsi="宋体"/>
          <w:sz w:val="24"/>
        </w:rPr>
        <w:t>项目依据</w:t>
      </w:r>
    </w:p>
    <w:p>
      <w:pPr>
        <w:pStyle w:val="3"/>
        <w:spacing w:line="360" w:lineRule="auto"/>
        <w:ind w:firstLine="480" w:firstLineChars="200"/>
        <w:rPr>
          <w:rFonts w:hAnsi="宋体"/>
          <w:sz w:val="24"/>
          <w:szCs w:val="24"/>
        </w:rPr>
      </w:pPr>
      <w:r>
        <w:rPr>
          <w:rFonts w:hint="eastAsia" w:hAnsi="宋体"/>
          <w:sz w:val="24"/>
          <w:szCs w:val="24"/>
        </w:rPr>
        <w:t>《中华人民共和国网络安全法》</w:t>
      </w:r>
    </w:p>
    <w:p>
      <w:pPr>
        <w:pStyle w:val="3"/>
        <w:spacing w:line="360" w:lineRule="auto"/>
        <w:ind w:firstLine="480" w:firstLineChars="200"/>
        <w:rPr>
          <w:rFonts w:hAnsi="宋体"/>
          <w:sz w:val="24"/>
          <w:szCs w:val="24"/>
        </w:rPr>
      </w:pPr>
      <w:r>
        <w:rPr>
          <w:rFonts w:hint="eastAsia" w:hAnsi="宋体"/>
          <w:sz w:val="24"/>
          <w:szCs w:val="24"/>
        </w:rPr>
        <w:t>《信息安全等级保护管理办法》</w:t>
      </w:r>
    </w:p>
    <w:p>
      <w:pPr>
        <w:pStyle w:val="3"/>
        <w:spacing w:line="360" w:lineRule="auto"/>
        <w:ind w:firstLine="480" w:firstLineChars="200"/>
        <w:rPr>
          <w:rFonts w:hAnsi="宋体"/>
          <w:sz w:val="24"/>
          <w:szCs w:val="24"/>
        </w:rPr>
      </w:pPr>
      <w:r>
        <w:rPr>
          <w:rFonts w:hint="eastAsia" w:hAnsi="宋体"/>
          <w:sz w:val="24"/>
          <w:szCs w:val="24"/>
        </w:rPr>
        <w:t>《信息安全技术信息系统安全等级保护定级指南》</w:t>
      </w:r>
    </w:p>
    <w:p>
      <w:pPr>
        <w:pStyle w:val="3"/>
        <w:spacing w:line="360" w:lineRule="auto"/>
        <w:ind w:firstLine="480" w:firstLineChars="200"/>
        <w:rPr>
          <w:rFonts w:hAnsi="宋体"/>
          <w:sz w:val="24"/>
          <w:szCs w:val="24"/>
        </w:rPr>
      </w:pPr>
      <w:r>
        <w:rPr>
          <w:rFonts w:hint="eastAsia" w:hAnsi="宋体"/>
          <w:sz w:val="24"/>
          <w:szCs w:val="24"/>
        </w:rPr>
        <w:t>《信息安全技术信息系统安全等级保护基本要求》</w:t>
      </w:r>
    </w:p>
    <w:p>
      <w:pPr>
        <w:pStyle w:val="3"/>
        <w:spacing w:line="360" w:lineRule="auto"/>
        <w:ind w:firstLine="480" w:firstLineChars="200"/>
        <w:rPr>
          <w:rFonts w:hAnsi="宋体"/>
          <w:sz w:val="24"/>
          <w:szCs w:val="24"/>
        </w:rPr>
      </w:pPr>
      <w:r>
        <w:rPr>
          <w:rFonts w:hint="eastAsia" w:hAnsi="宋体"/>
          <w:sz w:val="24"/>
          <w:szCs w:val="24"/>
        </w:rPr>
        <w:t>《信息安全技术信息系统通用安全技术要求》</w:t>
      </w:r>
    </w:p>
    <w:p>
      <w:pPr>
        <w:pStyle w:val="3"/>
        <w:spacing w:line="360" w:lineRule="auto"/>
        <w:ind w:firstLine="480" w:firstLineChars="200"/>
        <w:rPr>
          <w:rFonts w:hAnsi="宋体"/>
          <w:sz w:val="24"/>
          <w:szCs w:val="24"/>
        </w:rPr>
      </w:pPr>
      <w:r>
        <w:rPr>
          <w:rFonts w:hint="eastAsia" w:hAnsi="宋体"/>
          <w:sz w:val="24"/>
          <w:szCs w:val="24"/>
        </w:rPr>
        <w:t>《信息安全技术网络基础安全技术要求》</w:t>
      </w:r>
    </w:p>
    <w:p>
      <w:pPr>
        <w:pStyle w:val="3"/>
        <w:spacing w:line="360" w:lineRule="auto"/>
        <w:ind w:firstLine="480" w:firstLineChars="200"/>
        <w:rPr>
          <w:rFonts w:hAnsi="宋体"/>
          <w:sz w:val="24"/>
          <w:szCs w:val="24"/>
        </w:rPr>
      </w:pPr>
      <w:r>
        <w:rPr>
          <w:rFonts w:hint="eastAsia" w:hAnsi="宋体"/>
          <w:sz w:val="24"/>
          <w:szCs w:val="24"/>
        </w:rPr>
        <w:t>《信息安全技术操作系统安全技术要求》</w:t>
      </w:r>
    </w:p>
    <w:p>
      <w:pPr>
        <w:pStyle w:val="3"/>
        <w:spacing w:line="360" w:lineRule="auto"/>
        <w:ind w:firstLine="480" w:firstLineChars="200"/>
        <w:rPr>
          <w:rFonts w:hAnsi="宋体"/>
          <w:sz w:val="24"/>
          <w:szCs w:val="24"/>
        </w:rPr>
      </w:pPr>
      <w:r>
        <w:rPr>
          <w:rFonts w:hint="eastAsia" w:hAnsi="宋体"/>
          <w:sz w:val="24"/>
          <w:szCs w:val="24"/>
        </w:rPr>
        <w:t>《信息安全技术数据库管理系统安全技术要求》</w:t>
      </w:r>
    </w:p>
    <w:p>
      <w:pPr>
        <w:pStyle w:val="3"/>
        <w:spacing w:line="360" w:lineRule="auto"/>
        <w:ind w:firstLine="480" w:firstLineChars="200"/>
        <w:rPr>
          <w:rFonts w:hAnsi="宋体"/>
          <w:sz w:val="24"/>
          <w:szCs w:val="24"/>
        </w:rPr>
      </w:pPr>
      <w:r>
        <w:rPr>
          <w:rFonts w:hint="eastAsia" w:hAnsi="宋体"/>
          <w:sz w:val="24"/>
          <w:szCs w:val="24"/>
        </w:rPr>
        <w:t>《信息安全技术服务器技术要求》</w:t>
      </w:r>
    </w:p>
    <w:p>
      <w:pPr>
        <w:pStyle w:val="3"/>
        <w:spacing w:line="360" w:lineRule="auto"/>
        <w:ind w:firstLine="480" w:firstLineChars="200"/>
        <w:rPr>
          <w:rFonts w:hAnsi="宋体"/>
          <w:sz w:val="24"/>
          <w:szCs w:val="24"/>
        </w:rPr>
      </w:pPr>
      <w:r>
        <w:rPr>
          <w:rFonts w:hint="eastAsia" w:hAnsi="宋体"/>
          <w:sz w:val="24"/>
          <w:szCs w:val="24"/>
        </w:rPr>
        <w:t>《信息安全技术终端计算机系统安全等级技术要求》</w:t>
      </w:r>
    </w:p>
    <w:p>
      <w:pPr>
        <w:numPr>
          <w:ilvl w:val="1"/>
          <w:numId w:val="1"/>
        </w:numPr>
        <w:spacing w:line="360" w:lineRule="auto"/>
        <w:outlineLvl w:val="1"/>
        <w:rPr>
          <w:rFonts w:ascii="宋体" w:hAnsi="宋体"/>
          <w:sz w:val="24"/>
        </w:rPr>
      </w:pPr>
      <w:r>
        <w:rPr>
          <w:rFonts w:hint="eastAsia" w:ascii="宋体" w:hAnsi="宋体"/>
          <w:sz w:val="24"/>
        </w:rPr>
        <w:t>网络安全等级保护测评服务</w:t>
      </w:r>
    </w:p>
    <w:p>
      <w:pPr>
        <w:spacing w:line="360" w:lineRule="auto"/>
        <w:ind w:firstLine="720" w:firstLineChars="300"/>
        <w:rPr>
          <w:sz w:val="24"/>
          <w:szCs w:val="32"/>
        </w:rPr>
      </w:pPr>
      <w:r>
        <w:rPr>
          <w:rFonts w:hint="eastAsia"/>
          <w:sz w:val="24"/>
          <w:szCs w:val="32"/>
        </w:rPr>
        <w:t>依据公安部 《关于信息安全等级保护工作实施意见》（公通字[2004]66号）、《信息安全技术 网络安全等级保护基本要求》（GB/T 22239-2019）等文件要求，按照等级保护相关标准的要求，需对红河州第三人民医院所涉及的新H</w:t>
      </w:r>
      <w:r>
        <w:rPr>
          <w:sz w:val="24"/>
          <w:szCs w:val="32"/>
        </w:rPr>
        <w:t>IS</w:t>
      </w:r>
      <w:r>
        <w:rPr>
          <w:rFonts w:hint="eastAsia"/>
          <w:sz w:val="24"/>
          <w:szCs w:val="32"/>
        </w:rPr>
        <w:t>系统、L</w:t>
      </w:r>
      <w:r>
        <w:rPr>
          <w:sz w:val="24"/>
          <w:szCs w:val="32"/>
        </w:rPr>
        <w:t>IS</w:t>
      </w:r>
      <w:r>
        <w:rPr>
          <w:rFonts w:hint="eastAsia"/>
          <w:sz w:val="24"/>
          <w:szCs w:val="32"/>
        </w:rPr>
        <w:t>系统、P</w:t>
      </w:r>
      <w:r>
        <w:rPr>
          <w:sz w:val="24"/>
          <w:szCs w:val="32"/>
        </w:rPr>
        <w:t>ACS</w:t>
      </w:r>
      <w:r>
        <w:rPr>
          <w:rFonts w:hint="eastAsia"/>
          <w:sz w:val="24"/>
          <w:szCs w:val="32"/>
        </w:rPr>
        <w:t>系统、E</w:t>
      </w:r>
      <w:r>
        <w:rPr>
          <w:sz w:val="24"/>
          <w:szCs w:val="32"/>
        </w:rPr>
        <w:t>MR</w:t>
      </w:r>
      <w:r>
        <w:rPr>
          <w:rFonts w:hint="eastAsia"/>
          <w:sz w:val="24"/>
          <w:szCs w:val="32"/>
        </w:rPr>
        <w:t>系统、互联网医院系统开展三级等保测评，从安全物理环境、安全通信网络、安全区域边界、安全计算环境、安全管理中心、安全管理制度、安全管理机构、安全管理人员、安全建设管理、安全运维管理十个层面对系统进行网络安全等级保护测评工作。协助红河州第三人民医院组织召开信息系统定级专家评审会,并在当地公安机关完成定级备案工作，取得备案证书。测评结束后出具《网络安全等级保护测评报告》，并提出相应的安全建设整改建议，提供整改指导服务。为红河州第三人民医院进一步有效、合理地完善信息系统安全等级保护建设提供重要数据分析和安全保障。</w:t>
      </w:r>
    </w:p>
    <w:p>
      <w:pPr>
        <w:numPr>
          <w:ilvl w:val="2"/>
          <w:numId w:val="1"/>
        </w:numPr>
        <w:spacing w:line="360" w:lineRule="auto"/>
        <w:outlineLvl w:val="2"/>
        <w:rPr>
          <w:rFonts w:ascii="宋体" w:hAnsi="宋体"/>
          <w:sz w:val="24"/>
        </w:rPr>
      </w:pPr>
      <w:r>
        <w:rPr>
          <w:rFonts w:hint="eastAsia" w:ascii="宋体" w:hAnsi="宋体"/>
          <w:sz w:val="24"/>
        </w:rPr>
        <w:t>技术测评</w:t>
      </w:r>
    </w:p>
    <w:p>
      <w:pPr>
        <w:widowControl/>
        <w:spacing w:line="360" w:lineRule="auto"/>
        <w:ind w:left="360" w:firstLine="480" w:firstLineChars="200"/>
        <w:jc w:val="left"/>
        <w:rPr>
          <w:rFonts w:ascii="宋体" w:hAnsi="宋体"/>
          <w:sz w:val="24"/>
        </w:rPr>
      </w:pPr>
      <w:r>
        <w:rPr>
          <w:rFonts w:hint="eastAsia" w:ascii="宋体" w:hAnsi="宋体"/>
          <w:sz w:val="24"/>
        </w:rPr>
        <w:t>按照等保2.0要求进行测评，主要包括安全物理环境、安全通信环境、安全区域边界、安全计算环境、安全管理中心等五个层面上的测评。</w:t>
      </w:r>
    </w:p>
    <w:p>
      <w:pPr>
        <w:widowControl/>
        <w:spacing w:line="360" w:lineRule="auto"/>
        <w:ind w:left="360"/>
        <w:jc w:val="left"/>
        <w:rPr>
          <w:rFonts w:ascii="宋体" w:hAnsi="宋体"/>
          <w:sz w:val="24"/>
        </w:rPr>
      </w:pPr>
      <w:r>
        <w:rPr>
          <w:rFonts w:hint="eastAsia" w:ascii="宋体" w:hAnsi="宋体"/>
          <w:sz w:val="24"/>
        </w:rPr>
        <w:t>（1）安全物理环境</w:t>
      </w:r>
    </w:p>
    <w:p>
      <w:pPr>
        <w:widowControl/>
        <w:spacing w:line="360" w:lineRule="auto"/>
        <w:ind w:left="360"/>
        <w:jc w:val="left"/>
        <w:rPr>
          <w:rFonts w:ascii="宋体" w:hAnsi="宋体"/>
          <w:sz w:val="24"/>
        </w:rPr>
      </w:pPr>
      <w:r>
        <w:rPr>
          <w:rFonts w:hint="eastAsia" w:ascii="宋体" w:hAnsi="宋体"/>
          <w:sz w:val="24"/>
        </w:rPr>
        <w:t>安全物理环境测评内容要求包含以下十个控制点：物理位置选择、物理访问控制、防盗窃和防破坏、防雷击、防火、防水和防潮、防静电、温湿度控制、电力供应、电磁防护；</w:t>
      </w:r>
    </w:p>
    <w:p>
      <w:pPr>
        <w:widowControl/>
        <w:spacing w:line="360" w:lineRule="auto"/>
        <w:ind w:left="360"/>
        <w:jc w:val="left"/>
        <w:rPr>
          <w:rFonts w:ascii="宋体" w:hAnsi="宋体"/>
          <w:sz w:val="24"/>
        </w:rPr>
      </w:pPr>
      <w:r>
        <w:rPr>
          <w:rFonts w:hint="eastAsia" w:ascii="宋体" w:hAnsi="宋体"/>
          <w:sz w:val="24"/>
        </w:rPr>
        <w:t>（2）安全通信环境</w:t>
      </w:r>
    </w:p>
    <w:p>
      <w:pPr>
        <w:widowControl/>
        <w:spacing w:line="360" w:lineRule="auto"/>
        <w:ind w:left="360"/>
        <w:jc w:val="left"/>
        <w:rPr>
          <w:rFonts w:ascii="宋体" w:hAnsi="宋体"/>
          <w:sz w:val="24"/>
        </w:rPr>
      </w:pPr>
      <w:r>
        <w:rPr>
          <w:rFonts w:hint="eastAsia" w:ascii="宋体" w:hAnsi="宋体"/>
          <w:sz w:val="24"/>
        </w:rPr>
        <w:t>安全通信环境测评内容要求包含以下三个控制点：网络架构、通信传输、可信验证；</w:t>
      </w:r>
    </w:p>
    <w:p>
      <w:pPr>
        <w:widowControl/>
        <w:spacing w:line="360" w:lineRule="auto"/>
        <w:ind w:left="360"/>
        <w:jc w:val="left"/>
        <w:rPr>
          <w:rFonts w:ascii="宋体" w:hAnsi="宋体"/>
          <w:sz w:val="24"/>
        </w:rPr>
      </w:pPr>
      <w:r>
        <w:rPr>
          <w:rFonts w:hint="eastAsia" w:ascii="宋体" w:hAnsi="宋体"/>
          <w:sz w:val="24"/>
        </w:rPr>
        <w:t>（3）安全区域边界</w:t>
      </w:r>
    </w:p>
    <w:p>
      <w:pPr>
        <w:widowControl/>
        <w:spacing w:line="360" w:lineRule="auto"/>
        <w:ind w:left="360"/>
        <w:jc w:val="left"/>
        <w:rPr>
          <w:rFonts w:ascii="宋体" w:hAnsi="宋体"/>
          <w:sz w:val="24"/>
        </w:rPr>
      </w:pPr>
      <w:r>
        <w:rPr>
          <w:rFonts w:hint="eastAsia" w:ascii="宋体" w:hAnsi="宋体"/>
          <w:sz w:val="24"/>
        </w:rPr>
        <w:t>安全区域边界测评内容要求包含以下六个控制点：边界防护、访问控制、入侵防范、恶意代码和垃圾邮件防范、安全审计、可信验证；</w:t>
      </w:r>
    </w:p>
    <w:p>
      <w:pPr>
        <w:widowControl/>
        <w:spacing w:line="360" w:lineRule="auto"/>
        <w:ind w:left="360"/>
        <w:jc w:val="left"/>
        <w:rPr>
          <w:rFonts w:ascii="宋体" w:hAnsi="宋体"/>
          <w:sz w:val="24"/>
        </w:rPr>
      </w:pPr>
      <w:r>
        <w:rPr>
          <w:rFonts w:hint="eastAsia" w:ascii="宋体" w:hAnsi="宋体"/>
          <w:sz w:val="24"/>
        </w:rPr>
        <w:t>（4）安全计算环境</w:t>
      </w:r>
    </w:p>
    <w:p>
      <w:pPr>
        <w:widowControl/>
        <w:spacing w:line="360" w:lineRule="auto"/>
        <w:ind w:left="360"/>
        <w:jc w:val="left"/>
        <w:rPr>
          <w:rFonts w:ascii="宋体" w:hAnsi="宋体"/>
          <w:sz w:val="24"/>
        </w:rPr>
      </w:pPr>
      <w:r>
        <w:rPr>
          <w:rFonts w:hint="eastAsia" w:ascii="宋体" w:hAnsi="宋体"/>
          <w:sz w:val="24"/>
        </w:rPr>
        <w:t>安全计算环境测评内容要求包含以下十一个控制点：身份鉴别、访问控制、安全审计、入侵防范、恶意代码防范、可信验证、数据完整性、数据保密性、数据备份恢复、剩余信息保护、个人信息保护；</w:t>
      </w:r>
    </w:p>
    <w:p>
      <w:pPr>
        <w:widowControl/>
        <w:spacing w:line="360" w:lineRule="auto"/>
        <w:ind w:left="360"/>
        <w:jc w:val="left"/>
        <w:rPr>
          <w:rFonts w:ascii="宋体" w:hAnsi="宋体"/>
          <w:sz w:val="24"/>
        </w:rPr>
      </w:pPr>
      <w:r>
        <w:rPr>
          <w:rFonts w:hint="eastAsia" w:ascii="宋体" w:hAnsi="宋体"/>
          <w:sz w:val="24"/>
        </w:rPr>
        <w:t>（5）安全管理中心</w:t>
      </w:r>
    </w:p>
    <w:p>
      <w:pPr>
        <w:widowControl/>
        <w:spacing w:line="360" w:lineRule="auto"/>
        <w:ind w:left="360"/>
        <w:jc w:val="left"/>
        <w:rPr>
          <w:rFonts w:ascii="宋体" w:hAnsi="宋体"/>
          <w:sz w:val="24"/>
        </w:rPr>
      </w:pPr>
      <w:r>
        <w:rPr>
          <w:rFonts w:hint="eastAsia" w:ascii="宋体" w:hAnsi="宋体"/>
          <w:sz w:val="24"/>
        </w:rPr>
        <w:t>安全管理中心测评内容要求包含以下四个控制点：系统管理、审计管理、安全管理、集中管控。</w:t>
      </w:r>
    </w:p>
    <w:p>
      <w:pPr>
        <w:numPr>
          <w:ilvl w:val="2"/>
          <w:numId w:val="1"/>
        </w:numPr>
        <w:spacing w:line="360" w:lineRule="auto"/>
        <w:outlineLvl w:val="2"/>
        <w:rPr>
          <w:rFonts w:ascii="宋体" w:hAnsi="宋体"/>
          <w:sz w:val="24"/>
        </w:rPr>
      </w:pPr>
      <w:r>
        <w:rPr>
          <w:rFonts w:hint="eastAsia" w:ascii="宋体" w:hAnsi="宋体"/>
          <w:sz w:val="24"/>
        </w:rPr>
        <w:t>安全管理测评</w:t>
      </w:r>
    </w:p>
    <w:p>
      <w:pPr>
        <w:widowControl/>
        <w:spacing w:line="360" w:lineRule="auto"/>
        <w:ind w:left="360" w:firstLine="480" w:firstLineChars="200"/>
        <w:jc w:val="left"/>
        <w:rPr>
          <w:rFonts w:ascii="宋体" w:hAnsi="宋体"/>
          <w:sz w:val="24"/>
        </w:rPr>
      </w:pPr>
      <w:r>
        <w:rPr>
          <w:rFonts w:hint="eastAsia" w:ascii="宋体" w:hAnsi="宋体"/>
          <w:sz w:val="24"/>
        </w:rPr>
        <w:t>按照等保2.0要求进行测评，主要包括安全管理制度、安全管理机构、安全管理人员、安全建设管理、安全运维管理等五个层面上的测评。</w:t>
      </w:r>
    </w:p>
    <w:p>
      <w:pPr>
        <w:widowControl/>
        <w:spacing w:line="360" w:lineRule="auto"/>
        <w:ind w:left="360" w:firstLine="480" w:firstLineChars="200"/>
        <w:jc w:val="left"/>
        <w:rPr>
          <w:rFonts w:ascii="宋体" w:hAnsi="宋体"/>
          <w:sz w:val="24"/>
        </w:rPr>
      </w:pPr>
      <w:r>
        <w:rPr>
          <w:rFonts w:hint="eastAsia" w:ascii="宋体" w:hAnsi="宋体"/>
          <w:sz w:val="24"/>
        </w:rPr>
        <w:t>（1）安全管理制度</w:t>
      </w:r>
    </w:p>
    <w:p>
      <w:pPr>
        <w:widowControl/>
        <w:spacing w:line="360" w:lineRule="auto"/>
        <w:ind w:left="360" w:firstLine="480" w:firstLineChars="200"/>
        <w:jc w:val="left"/>
        <w:rPr>
          <w:rFonts w:ascii="宋体" w:hAnsi="宋体"/>
          <w:sz w:val="24"/>
        </w:rPr>
      </w:pPr>
      <w:r>
        <w:rPr>
          <w:rFonts w:hint="eastAsia" w:ascii="宋体" w:hAnsi="宋体"/>
          <w:sz w:val="24"/>
        </w:rPr>
        <w:t>安全管理制度测评内容要求包含以下三个控制点：管理制度、制定和发布、评审和修订；</w:t>
      </w:r>
    </w:p>
    <w:p>
      <w:pPr>
        <w:widowControl/>
        <w:spacing w:line="360" w:lineRule="auto"/>
        <w:ind w:left="360" w:firstLine="480" w:firstLineChars="200"/>
        <w:jc w:val="left"/>
        <w:rPr>
          <w:rFonts w:ascii="宋体" w:hAnsi="宋体"/>
          <w:sz w:val="24"/>
        </w:rPr>
      </w:pPr>
      <w:r>
        <w:rPr>
          <w:rFonts w:hint="eastAsia" w:ascii="宋体" w:hAnsi="宋体"/>
          <w:sz w:val="24"/>
        </w:rPr>
        <w:t>（2）安全管理机构</w:t>
      </w:r>
    </w:p>
    <w:p>
      <w:pPr>
        <w:widowControl/>
        <w:spacing w:line="360" w:lineRule="auto"/>
        <w:ind w:left="360" w:firstLine="480" w:firstLineChars="200"/>
        <w:jc w:val="left"/>
        <w:rPr>
          <w:rFonts w:ascii="宋体" w:hAnsi="宋体"/>
          <w:sz w:val="24"/>
        </w:rPr>
      </w:pPr>
      <w:r>
        <w:rPr>
          <w:rFonts w:hint="eastAsia" w:ascii="宋体" w:hAnsi="宋体"/>
          <w:sz w:val="24"/>
        </w:rPr>
        <w:t>安全管理机构测评内容要求包含以下五个控制点：岗位设置、人员配备、授权和审批、沟通和合作、审核和检查；</w:t>
      </w:r>
    </w:p>
    <w:p>
      <w:pPr>
        <w:widowControl/>
        <w:spacing w:line="360" w:lineRule="auto"/>
        <w:ind w:left="360" w:firstLine="480" w:firstLineChars="200"/>
        <w:jc w:val="left"/>
        <w:rPr>
          <w:rFonts w:ascii="宋体" w:hAnsi="宋体"/>
          <w:sz w:val="24"/>
        </w:rPr>
      </w:pPr>
      <w:r>
        <w:rPr>
          <w:rFonts w:hint="eastAsia" w:ascii="宋体" w:hAnsi="宋体"/>
          <w:sz w:val="24"/>
        </w:rPr>
        <w:t>（3）安全管理人员</w:t>
      </w:r>
    </w:p>
    <w:p>
      <w:pPr>
        <w:widowControl/>
        <w:spacing w:line="360" w:lineRule="auto"/>
        <w:ind w:left="360" w:firstLine="480" w:firstLineChars="200"/>
        <w:jc w:val="left"/>
        <w:rPr>
          <w:rFonts w:ascii="宋体" w:hAnsi="宋体"/>
          <w:sz w:val="24"/>
        </w:rPr>
      </w:pPr>
      <w:r>
        <w:rPr>
          <w:rFonts w:hint="eastAsia" w:ascii="宋体" w:hAnsi="宋体"/>
          <w:sz w:val="24"/>
        </w:rPr>
        <w:t>安全管理人员测评内容要求包含以下四个控制点：人员录用、人员离岗、安全意识教育和培训、外部人员访问管理；</w:t>
      </w:r>
    </w:p>
    <w:p>
      <w:pPr>
        <w:widowControl/>
        <w:spacing w:line="360" w:lineRule="auto"/>
        <w:ind w:left="360" w:firstLine="480" w:firstLineChars="200"/>
        <w:jc w:val="left"/>
        <w:rPr>
          <w:rFonts w:ascii="宋体" w:hAnsi="宋体"/>
          <w:sz w:val="24"/>
        </w:rPr>
      </w:pPr>
      <w:r>
        <w:rPr>
          <w:rFonts w:hint="eastAsia" w:ascii="宋体" w:hAnsi="宋体"/>
          <w:sz w:val="24"/>
        </w:rPr>
        <w:t>（4）安全建设管理</w:t>
      </w:r>
    </w:p>
    <w:p>
      <w:pPr>
        <w:widowControl/>
        <w:spacing w:line="360" w:lineRule="auto"/>
        <w:ind w:left="360" w:firstLine="480" w:firstLineChars="200"/>
        <w:jc w:val="left"/>
        <w:rPr>
          <w:rFonts w:ascii="宋体" w:hAnsi="宋体"/>
          <w:sz w:val="24"/>
        </w:rPr>
      </w:pPr>
      <w:r>
        <w:rPr>
          <w:rFonts w:hint="eastAsia" w:ascii="宋体" w:hAnsi="宋体"/>
          <w:sz w:val="24"/>
        </w:rPr>
        <w:t>安全建设管理测评内容要求包含以下十个控制点：定级和备案、安全方案设计、产品采购和使用、自行软件开发、外包软件开发、工程实施、测试验收、系统交付、等级测评、服务供应商选择；</w:t>
      </w:r>
    </w:p>
    <w:p>
      <w:pPr>
        <w:widowControl/>
        <w:spacing w:line="360" w:lineRule="auto"/>
        <w:ind w:left="360" w:firstLine="480" w:firstLineChars="200"/>
        <w:jc w:val="left"/>
        <w:rPr>
          <w:rFonts w:ascii="宋体" w:hAnsi="宋体"/>
          <w:sz w:val="24"/>
        </w:rPr>
      </w:pPr>
      <w:r>
        <w:rPr>
          <w:rFonts w:hint="eastAsia" w:ascii="宋体" w:hAnsi="宋体"/>
          <w:sz w:val="24"/>
        </w:rPr>
        <w:t>（5）安全运维管理</w:t>
      </w:r>
    </w:p>
    <w:p>
      <w:pPr>
        <w:widowControl/>
        <w:spacing w:line="360" w:lineRule="auto"/>
        <w:ind w:left="360" w:firstLine="480" w:firstLineChars="200"/>
        <w:jc w:val="left"/>
        <w:rPr>
          <w:rFonts w:ascii="宋体" w:hAnsi="宋体"/>
          <w:sz w:val="24"/>
        </w:rPr>
      </w:pPr>
      <w:r>
        <w:rPr>
          <w:rFonts w:hint="eastAsia" w:ascii="宋体" w:hAnsi="宋体"/>
          <w:sz w:val="24"/>
        </w:rPr>
        <w:t>安全运维管理测评内容要求包含以下十四个控制点：环境管理、资产管理、介质管理、设备维护管理、漏洞和风险管理、网络和系统安全管理、恶意代码防范管理、配置管理、密码管理、变更管理、备份与恢复管理、安全事件处置、应急预案管理、外包运维管理。</w:t>
      </w:r>
    </w:p>
    <w:p>
      <w:pPr>
        <w:numPr>
          <w:ilvl w:val="2"/>
          <w:numId w:val="1"/>
        </w:numPr>
        <w:spacing w:line="360" w:lineRule="auto"/>
        <w:outlineLvl w:val="2"/>
        <w:rPr>
          <w:rFonts w:ascii="宋体" w:hAnsi="宋体"/>
          <w:sz w:val="24"/>
        </w:rPr>
      </w:pPr>
      <w:r>
        <w:rPr>
          <w:rFonts w:hint="eastAsia" w:ascii="宋体" w:hAnsi="宋体"/>
          <w:sz w:val="24"/>
        </w:rPr>
        <w:t>整体测评</w:t>
      </w:r>
    </w:p>
    <w:p>
      <w:pPr>
        <w:widowControl/>
        <w:spacing w:line="360" w:lineRule="auto"/>
        <w:ind w:left="360" w:firstLine="480" w:firstLineChars="200"/>
        <w:jc w:val="left"/>
        <w:rPr>
          <w:rFonts w:ascii="宋体" w:hAnsi="宋体"/>
          <w:sz w:val="24"/>
        </w:rPr>
      </w:pPr>
      <w:r>
        <w:rPr>
          <w:rFonts w:hint="eastAsia" w:ascii="宋体" w:hAnsi="宋体"/>
          <w:sz w:val="24"/>
        </w:rPr>
        <w:t>按照等保2.0要求进行测评。从安全控制点、安全控制点间和区域间等方面进行测评和综合安全分析，从而给出等级测评结论。整体测评包括安全控制点测评、安全控制点间测评和区域间测评。</w:t>
      </w:r>
    </w:p>
    <w:p>
      <w:pPr>
        <w:numPr>
          <w:ilvl w:val="2"/>
          <w:numId w:val="1"/>
        </w:numPr>
        <w:spacing w:line="360" w:lineRule="auto"/>
        <w:outlineLvl w:val="2"/>
        <w:rPr>
          <w:szCs w:val="21"/>
        </w:rPr>
      </w:pPr>
      <w:r>
        <w:rPr>
          <w:rFonts w:hint="eastAsia" w:ascii="宋体" w:hAnsi="宋体"/>
          <w:sz w:val="24"/>
        </w:rPr>
        <w:t>测评报告编制</w:t>
      </w:r>
    </w:p>
    <w:p>
      <w:pPr>
        <w:widowControl/>
        <w:spacing w:line="360" w:lineRule="auto"/>
        <w:ind w:left="360" w:firstLine="480" w:firstLineChars="200"/>
        <w:jc w:val="left"/>
        <w:rPr>
          <w:rFonts w:ascii="宋体" w:hAnsi="宋体"/>
          <w:sz w:val="24"/>
        </w:rPr>
      </w:pPr>
      <w:r>
        <w:rPr>
          <w:rFonts w:hint="eastAsia" w:ascii="宋体" w:hAnsi="宋体"/>
          <w:sz w:val="24"/>
        </w:rPr>
        <w:t>在现场测评工作结束后，应对现场测评获得的测评结果（或称测评证据）进行汇总分析，形成等级测评结论，并编制测评报告。</w:t>
      </w:r>
    </w:p>
    <w:p>
      <w:pPr>
        <w:numPr>
          <w:ilvl w:val="2"/>
          <w:numId w:val="1"/>
        </w:numPr>
        <w:spacing w:line="360" w:lineRule="auto"/>
        <w:outlineLvl w:val="2"/>
        <w:rPr>
          <w:rFonts w:ascii="宋体" w:hAnsi="宋体"/>
          <w:sz w:val="24"/>
        </w:rPr>
      </w:pPr>
      <w:r>
        <w:rPr>
          <w:rFonts w:hint="eastAsia" w:ascii="宋体" w:hAnsi="宋体"/>
          <w:sz w:val="24"/>
        </w:rPr>
        <w:t>测评服务提交成果要求</w:t>
      </w:r>
    </w:p>
    <w:p>
      <w:pPr>
        <w:widowControl/>
        <w:spacing w:line="360" w:lineRule="auto"/>
        <w:ind w:left="360" w:firstLine="480" w:firstLineChars="200"/>
        <w:jc w:val="left"/>
        <w:rPr>
          <w:rFonts w:ascii="宋体" w:hAnsi="宋体"/>
          <w:sz w:val="24"/>
        </w:rPr>
      </w:pPr>
      <w:r>
        <w:rPr>
          <w:rFonts w:hint="eastAsia" w:ascii="宋体" w:hAnsi="宋体"/>
          <w:sz w:val="24"/>
        </w:rPr>
        <w:t>完成等保测评工作应按要求提供相应系统的测评报告、整改建议书及测评实施计划书等，包括但不限于以下材料。</w:t>
      </w:r>
    </w:p>
    <w:p>
      <w:pPr>
        <w:widowControl/>
        <w:spacing w:line="360" w:lineRule="auto"/>
        <w:ind w:left="360" w:firstLine="480" w:firstLineChars="200"/>
        <w:jc w:val="left"/>
        <w:rPr>
          <w:rFonts w:ascii="宋体" w:hAnsi="宋体"/>
          <w:sz w:val="24"/>
        </w:rPr>
      </w:pPr>
      <w:r>
        <w:rPr>
          <w:rFonts w:hint="eastAsia" w:ascii="宋体" w:hAnsi="宋体"/>
          <w:sz w:val="24"/>
        </w:rPr>
        <w:t>（1）《信息系统等级保护测评方案》（纸版和电子版）</w:t>
      </w:r>
    </w:p>
    <w:p>
      <w:pPr>
        <w:widowControl/>
        <w:spacing w:line="360" w:lineRule="auto"/>
        <w:ind w:left="360" w:firstLine="480" w:firstLineChars="200"/>
        <w:jc w:val="left"/>
        <w:rPr>
          <w:rFonts w:ascii="宋体" w:hAnsi="宋体"/>
          <w:sz w:val="24"/>
        </w:rPr>
      </w:pPr>
      <w:r>
        <w:rPr>
          <w:rFonts w:hint="eastAsia" w:ascii="宋体" w:hAnsi="宋体"/>
          <w:sz w:val="24"/>
        </w:rPr>
        <w:t>（2）《等级保护测评实施计划》（纸版和电子版）</w:t>
      </w:r>
    </w:p>
    <w:p>
      <w:pPr>
        <w:widowControl/>
        <w:spacing w:line="360" w:lineRule="auto"/>
        <w:ind w:left="360" w:firstLine="480" w:firstLineChars="200"/>
        <w:jc w:val="left"/>
        <w:rPr>
          <w:rFonts w:ascii="宋体" w:hAnsi="宋体"/>
          <w:sz w:val="24"/>
        </w:rPr>
      </w:pPr>
      <w:r>
        <w:rPr>
          <w:rFonts w:hint="eastAsia" w:ascii="宋体" w:hAnsi="宋体"/>
          <w:sz w:val="24"/>
        </w:rPr>
        <w:t>（3）《等级保护测评过程记录文件》（电子版）</w:t>
      </w:r>
    </w:p>
    <w:p>
      <w:pPr>
        <w:widowControl/>
        <w:spacing w:line="360" w:lineRule="auto"/>
        <w:ind w:left="360" w:firstLine="480" w:firstLineChars="200"/>
        <w:jc w:val="left"/>
        <w:rPr>
          <w:rFonts w:ascii="宋体" w:hAnsi="宋体"/>
          <w:sz w:val="24"/>
        </w:rPr>
      </w:pPr>
      <w:r>
        <w:rPr>
          <w:rFonts w:hint="eastAsia" w:ascii="宋体" w:hAnsi="宋体"/>
          <w:sz w:val="24"/>
        </w:rPr>
        <w:t>（4）《信息系统等级保护测评报告》（纸版和电子版）</w:t>
      </w:r>
    </w:p>
    <w:p>
      <w:pPr>
        <w:rPr>
          <w:rFonts w:hint="default"/>
          <w:lang w:val="en-US" w:eastAsia="zh-CN"/>
        </w:rPr>
      </w:pPr>
      <w:r>
        <w:rPr>
          <w:rFonts w:hint="eastAsia" w:ascii="宋体" w:hAnsi="宋体"/>
          <w:sz w:val="24"/>
        </w:rPr>
        <w:t>（5）《网络与信息系统安全等级保护整改建议书》（纸版和电子版）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BA2D1"/>
    <w:multiLevelType w:val="multilevel"/>
    <w:tmpl w:val="D0CBA2D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YTEyMmQ0MzU0NGMzNTQ0OTZlOWYxYWY4OTI0NzkifQ=="/>
  </w:docVars>
  <w:rsids>
    <w:rsidRoot w:val="733373B3"/>
    <w:rsid w:val="41F54457"/>
    <w:rsid w:val="7333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3</Pages>
  <Words>1774</Words>
  <Characters>1808</Characters>
  <Lines>0</Lines>
  <Paragraphs>0</Paragraphs>
  <TotalTime>0</TotalTime>
  <ScaleCrop>false</ScaleCrop>
  <LinksUpToDate>false</LinksUpToDate>
  <CharactersWithSpaces>1811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2022-10-24T08:01:00Z</dcterms:created>
  <dc:creator>最强信息科</dc:creator>
  <cp:lastModifiedBy>if</cp:lastModifiedBy>
  <dcterms:modified xsi:type="dcterms:W3CDTF">2022-10-25T12:16:01Z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64F4480C50A145C290DFFC272C1034CF</vt:lpwstr>
  </property>
</Properties>
</file>