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E9D3D">
      <w:pPr>
        <w:pStyle w:val="10"/>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eastAsia" w:ascii="宋体" w:hAnsi="宋体" w:eastAsia="宋体" w:cs="宋体"/>
          <w:b/>
          <w:spacing w:val="20"/>
          <w:sz w:val="18"/>
          <w:szCs w:val="18"/>
          <w:lang w:bidi="ar"/>
        </w:rPr>
      </w:pPr>
      <w:bookmarkStart w:id="0" w:name="OLE_LINK29"/>
      <w:bookmarkStart w:id="1" w:name="OLE_LINK2"/>
      <w:r>
        <w:rPr>
          <w:rFonts w:hint="eastAsia" w:ascii="宋体" w:hAnsi="宋体" w:eastAsia="宋体" w:cs="宋体"/>
          <w:b/>
          <w:spacing w:val="20"/>
          <w:sz w:val="52"/>
          <w:szCs w:val="52"/>
          <w:lang w:eastAsia="zh-CN" w:bidi="ar"/>
        </w:rPr>
        <w:t>红河哈尼族彝族自治州第三人民医院眼科耗材采购项目（三次）</w:t>
      </w:r>
    </w:p>
    <w:bookmarkEnd w:id="0"/>
    <w:p w14:paraId="270DC030">
      <w:pPr>
        <w:pStyle w:val="10"/>
        <w:ind w:left="1470" w:right="1470"/>
        <w:rPr>
          <w:rFonts w:hint="eastAsia" w:ascii="宋体" w:hAnsi="宋体" w:eastAsia="宋体" w:cs="宋体"/>
          <w:b/>
          <w:spacing w:val="20"/>
          <w:sz w:val="18"/>
          <w:szCs w:val="18"/>
          <w:lang w:bidi="ar"/>
        </w:rPr>
      </w:pPr>
    </w:p>
    <w:p w14:paraId="497DEF28">
      <w:pPr>
        <w:pStyle w:val="10"/>
        <w:ind w:left="1470" w:right="1470"/>
        <w:rPr>
          <w:rFonts w:hint="eastAsia" w:ascii="宋体" w:hAnsi="宋体" w:eastAsia="宋体" w:cs="宋体"/>
          <w:b/>
          <w:spacing w:val="20"/>
          <w:sz w:val="18"/>
          <w:szCs w:val="18"/>
          <w:lang w:bidi="ar"/>
        </w:rPr>
      </w:pPr>
    </w:p>
    <w:p w14:paraId="06245CD3">
      <w:pPr>
        <w:pStyle w:val="10"/>
        <w:ind w:left="1470" w:right="1470"/>
        <w:rPr>
          <w:rFonts w:hint="eastAsia" w:ascii="宋体" w:hAnsi="宋体" w:eastAsia="宋体" w:cs="宋体"/>
          <w:b/>
          <w:spacing w:val="20"/>
          <w:sz w:val="18"/>
          <w:szCs w:val="18"/>
          <w:lang w:bidi="ar"/>
        </w:rPr>
      </w:pPr>
    </w:p>
    <w:p w14:paraId="07414EFC">
      <w:pPr>
        <w:pStyle w:val="10"/>
        <w:ind w:left="1470" w:right="1470"/>
        <w:jc w:val="center"/>
        <w:rPr>
          <w:rFonts w:hint="eastAsia" w:ascii="宋体" w:hAnsi="宋体" w:eastAsia="宋体" w:cs="宋体"/>
          <w:b/>
          <w:spacing w:val="20"/>
          <w:sz w:val="18"/>
          <w:szCs w:val="18"/>
          <w:lang w:bidi="ar"/>
        </w:rPr>
      </w:pPr>
      <w:r>
        <w:rPr>
          <w:rFonts w:hint="eastAsia" w:ascii="宋体" w:hAnsi="宋体" w:eastAsia="宋体" w:cs="宋体"/>
          <w:color w:val="000000"/>
          <w:kern w:val="0"/>
          <w:sz w:val="30"/>
          <w:szCs w:val="30"/>
        </w:rPr>
        <w:drawing>
          <wp:inline distT="0" distB="0" distL="114300" distR="114300">
            <wp:extent cx="1809750" cy="1824355"/>
            <wp:effectExtent l="0" t="0" r="0" b="4445"/>
            <wp:docPr id="5"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ff1697ca69e97674ed666da391524c"/>
                    <pic:cNvPicPr>
                      <a:picLocks noChangeAspect="1"/>
                    </pic:cNvPicPr>
                  </pic:nvPicPr>
                  <pic:blipFill>
                    <a:blip r:embed="rId8"/>
                    <a:stretch>
                      <a:fillRect/>
                    </a:stretch>
                  </pic:blipFill>
                  <pic:spPr>
                    <a:xfrm>
                      <a:off x="0" y="0"/>
                      <a:ext cx="1809750" cy="1824355"/>
                    </a:xfrm>
                    <a:prstGeom prst="rect">
                      <a:avLst/>
                    </a:prstGeom>
                    <a:noFill/>
                    <a:ln>
                      <a:noFill/>
                    </a:ln>
                  </pic:spPr>
                </pic:pic>
              </a:graphicData>
            </a:graphic>
          </wp:inline>
        </w:drawing>
      </w:r>
    </w:p>
    <w:p w14:paraId="6B76574D">
      <w:pPr>
        <w:pStyle w:val="10"/>
        <w:ind w:left="1470" w:right="1470"/>
        <w:rPr>
          <w:rFonts w:hint="eastAsia" w:ascii="宋体" w:hAnsi="宋体" w:eastAsia="宋体" w:cs="宋体"/>
          <w:b/>
          <w:spacing w:val="20"/>
          <w:sz w:val="18"/>
          <w:szCs w:val="18"/>
          <w:lang w:bidi="ar"/>
        </w:rPr>
      </w:pPr>
    </w:p>
    <w:p w14:paraId="0750C8FB">
      <w:pPr>
        <w:pStyle w:val="10"/>
        <w:ind w:left="0" w:leftChars="0" w:right="1470" w:firstLine="0" w:firstLineChars="0"/>
        <w:rPr>
          <w:rFonts w:hint="eastAsia" w:ascii="宋体" w:hAnsi="宋体" w:eastAsia="宋体" w:cs="宋体"/>
          <w:b/>
          <w:spacing w:val="20"/>
          <w:sz w:val="18"/>
          <w:szCs w:val="18"/>
          <w:lang w:bidi="ar"/>
        </w:rPr>
      </w:pPr>
    </w:p>
    <w:p w14:paraId="6E90F4D9">
      <w:pPr>
        <w:pStyle w:val="10"/>
        <w:ind w:left="1470" w:right="1470"/>
        <w:rPr>
          <w:rFonts w:hint="eastAsia" w:ascii="宋体" w:hAnsi="宋体" w:eastAsia="宋体" w:cs="宋体"/>
          <w:b/>
          <w:spacing w:val="20"/>
          <w:sz w:val="18"/>
          <w:szCs w:val="18"/>
          <w:lang w:bidi="ar"/>
        </w:rPr>
      </w:pPr>
    </w:p>
    <w:p w14:paraId="4D1823C8">
      <w:pPr>
        <w:jc w:val="center"/>
        <w:rPr>
          <w:rFonts w:hint="eastAsia" w:ascii="宋体" w:hAnsi="宋体" w:eastAsia="宋体" w:cs="宋体"/>
          <w:b/>
          <w:sz w:val="28"/>
          <w:szCs w:val="28"/>
          <w:lang w:bidi="ar"/>
        </w:rPr>
      </w:pPr>
      <w:r>
        <w:rPr>
          <w:rFonts w:hint="eastAsia" w:ascii="宋体" w:hAnsi="宋体" w:eastAsia="宋体" w:cs="宋体"/>
          <w:b/>
          <w:sz w:val="56"/>
          <w:szCs w:val="56"/>
          <w:lang w:eastAsia="zh-CN" w:bidi="ar"/>
        </w:rPr>
        <w:t>询比</w:t>
      </w:r>
      <w:r>
        <w:rPr>
          <w:rFonts w:hint="eastAsia" w:ascii="宋体" w:hAnsi="宋体" w:eastAsia="宋体" w:cs="宋体"/>
          <w:b/>
          <w:sz w:val="56"/>
          <w:szCs w:val="56"/>
          <w:lang w:bidi="ar"/>
        </w:rPr>
        <w:t>文件</w:t>
      </w:r>
    </w:p>
    <w:p w14:paraId="13F2C911">
      <w:pPr>
        <w:ind w:firstLine="843" w:firstLineChars="300"/>
        <w:rPr>
          <w:rFonts w:hint="eastAsia" w:ascii="宋体" w:hAnsi="宋体" w:eastAsia="宋体" w:cs="宋体"/>
          <w:b/>
          <w:sz w:val="28"/>
          <w:szCs w:val="28"/>
          <w:lang w:bidi="ar"/>
        </w:rPr>
      </w:pPr>
    </w:p>
    <w:p w14:paraId="58CD1D0C">
      <w:pPr>
        <w:ind w:firstLine="843" w:firstLineChars="300"/>
        <w:rPr>
          <w:rFonts w:hint="eastAsia" w:ascii="宋体" w:hAnsi="宋体" w:eastAsia="宋体" w:cs="宋体"/>
          <w:b/>
          <w:sz w:val="28"/>
          <w:szCs w:val="28"/>
          <w:lang w:bidi="ar"/>
        </w:rPr>
      </w:pPr>
    </w:p>
    <w:p w14:paraId="61B1A025">
      <w:pPr>
        <w:ind w:firstLine="843" w:firstLineChars="300"/>
        <w:rPr>
          <w:rFonts w:hint="eastAsia" w:ascii="宋体" w:hAnsi="宋体" w:eastAsia="宋体" w:cs="宋体"/>
          <w:b/>
          <w:sz w:val="28"/>
          <w:szCs w:val="28"/>
          <w:lang w:bidi="ar"/>
        </w:rPr>
      </w:pPr>
    </w:p>
    <w:p w14:paraId="5AF91BF8">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项目编号：</w:t>
      </w:r>
      <w:r>
        <w:rPr>
          <w:rFonts w:hint="eastAsia" w:ascii="宋体" w:hAnsi="宋体" w:eastAsia="宋体" w:cs="宋体"/>
          <w:b/>
          <w:sz w:val="28"/>
          <w:szCs w:val="28"/>
          <w:lang w:eastAsia="zh-CN" w:bidi="ar"/>
        </w:rPr>
        <w:t>HHZSY-YNCG-089-202500916</w:t>
      </w:r>
    </w:p>
    <w:p w14:paraId="1DB80057">
      <w:pPr>
        <w:ind w:firstLine="843" w:firstLineChars="300"/>
      </w:pPr>
      <w:r>
        <w:rPr>
          <w:rFonts w:hint="eastAsia" w:ascii="宋体" w:hAnsi="宋体" w:eastAsia="宋体" w:cs="宋体"/>
          <w:b/>
          <w:sz w:val="28"/>
          <w:szCs w:val="28"/>
          <w:lang w:bidi="ar"/>
        </w:rPr>
        <w:t>采  购  人：红河哈尼族彝族自治州第三人民医院</w:t>
      </w:r>
    </w:p>
    <w:p w14:paraId="101CDF04">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日        期：202</w:t>
      </w:r>
      <w:r>
        <w:rPr>
          <w:rFonts w:hint="eastAsia" w:ascii="宋体" w:hAnsi="宋体" w:eastAsia="宋体" w:cs="宋体"/>
          <w:b/>
          <w:sz w:val="28"/>
          <w:szCs w:val="28"/>
          <w:lang w:val="en-US" w:eastAsia="zh-CN" w:bidi="ar"/>
        </w:rPr>
        <w:t>5</w:t>
      </w:r>
      <w:r>
        <w:rPr>
          <w:rFonts w:hint="eastAsia" w:ascii="宋体" w:hAnsi="宋体" w:eastAsia="宋体" w:cs="宋体"/>
          <w:b/>
          <w:sz w:val="28"/>
          <w:szCs w:val="28"/>
          <w:lang w:bidi="ar"/>
        </w:rPr>
        <w:t>年</w:t>
      </w:r>
      <w:r>
        <w:rPr>
          <w:rFonts w:hint="eastAsia" w:ascii="宋体" w:hAnsi="宋体" w:eastAsia="宋体" w:cs="宋体"/>
          <w:b/>
          <w:sz w:val="28"/>
          <w:szCs w:val="28"/>
          <w:lang w:val="en-US" w:eastAsia="zh-CN" w:bidi="ar"/>
        </w:rPr>
        <w:t>10</w:t>
      </w:r>
      <w:r>
        <w:rPr>
          <w:rFonts w:hint="eastAsia" w:ascii="宋体" w:hAnsi="宋体" w:eastAsia="宋体" w:cs="宋体"/>
          <w:b/>
          <w:sz w:val="28"/>
          <w:szCs w:val="28"/>
          <w:lang w:bidi="ar"/>
        </w:rPr>
        <w:t>月</w:t>
      </w:r>
    </w:p>
    <w:bookmarkEnd w:id="1"/>
    <w:p w14:paraId="21808B1D">
      <w:pPr>
        <w:pStyle w:val="14"/>
        <w:rPr>
          <w:rFonts w:hint="eastAsia" w:ascii="宋体" w:hAnsi="宋体" w:eastAsia="宋体" w:cs="宋体"/>
          <w:b/>
          <w:color w:val="000000"/>
          <w:sz w:val="32"/>
          <w:szCs w:val="32"/>
        </w:rPr>
      </w:pPr>
    </w:p>
    <w:p w14:paraId="1125C51C">
      <w:pPr>
        <w:rPr>
          <w:rFonts w:hint="eastAsia"/>
        </w:rPr>
      </w:pPr>
      <w:bookmarkStart w:id="2" w:name="_Toc17855"/>
      <w:bookmarkStart w:id="3" w:name="_Toc4632"/>
      <w:r>
        <w:rPr>
          <w:rFonts w:hint="eastAsia"/>
        </w:rPr>
        <w:br w:type="page"/>
      </w:r>
    </w:p>
    <w:p w14:paraId="6E9655F7">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31B9F139">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TOC \o "1-1" \h \u </w:instrText>
      </w:r>
      <w:r>
        <w:rPr>
          <w:rFonts w:hint="eastAsia" w:ascii="宋体" w:hAnsi="宋体"/>
          <w:sz w:val="28"/>
          <w:szCs w:val="28"/>
        </w:rPr>
        <w:fldChar w:fldCharType="separate"/>
      </w:r>
      <w:r>
        <w:rPr>
          <w:rFonts w:hint="eastAsia" w:ascii="宋体" w:hAnsi="宋体"/>
          <w:sz w:val="28"/>
          <w:szCs w:val="28"/>
        </w:rPr>
        <w:fldChar w:fldCharType="begin"/>
      </w:r>
      <w:r>
        <w:rPr>
          <w:rFonts w:hint="eastAsia" w:ascii="宋体" w:hAnsi="宋体"/>
          <w:sz w:val="28"/>
          <w:szCs w:val="28"/>
        </w:rPr>
        <w:instrText xml:space="preserve"> HYPERLINK \l _Toc6684 </w:instrText>
      </w:r>
      <w:r>
        <w:rPr>
          <w:rFonts w:hint="eastAsia" w:ascii="宋体" w:hAnsi="宋体"/>
          <w:sz w:val="28"/>
          <w:szCs w:val="28"/>
        </w:rPr>
        <w:fldChar w:fldCharType="separate"/>
      </w:r>
      <w:r>
        <w:rPr>
          <w:rFonts w:hint="eastAsia"/>
          <w:sz w:val="28"/>
          <w:szCs w:val="28"/>
        </w:rPr>
        <w:t>第一章 询</w:t>
      </w:r>
      <w:r>
        <w:rPr>
          <w:rFonts w:hint="eastAsia"/>
          <w:sz w:val="28"/>
          <w:szCs w:val="28"/>
          <w:lang w:eastAsia="zh-CN"/>
        </w:rPr>
        <w:t>比</w:t>
      </w:r>
      <w:r>
        <w:rPr>
          <w:rFonts w:hint="eastAsia"/>
          <w:sz w:val="28"/>
          <w:szCs w:val="28"/>
        </w:rPr>
        <w:t>公告</w:t>
      </w:r>
      <w:r>
        <w:rPr>
          <w:sz w:val="28"/>
          <w:szCs w:val="28"/>
        </w:rPr>
        <w:tab/>
      </w:r>
      <w:r>
        <w:rPr>
          <w:sz w:val="28"/>
          <w:szCs w:val="28"/>
        </w:rPr>
        <w:fldChar w:fldCharType="begin"/>
      </w:r>
      <w:r>
        <w:rPr>
          <w:sz w:val="28"/>
          <w:szCs w:val="28"/>
        </w:rPr>
        <w:instrText xml:space="preserve"> PAGEREF _Toc6684 \h </w:instrText>
      </w:r>
      <w:r>
        <w:rPr>
          <w:sz w:val="28"/>
          <w:szCs w:val="28"/>
        </w:rPr>
        <w:fldChar w:fldCharType="separate"/>
      </w:r>
      <w:r>
        <w:rPr>
          <w:sz w:val="28"/>
          <w:szCs w:val="28"/>
        </w:rPr>
        <w:t>1</w:t>
      </w:r>
      <w:r>
        <w:rPr>
          <w:sz w:val="28"/>
          <w:szCs w:val="28"/>
        </w:rPr>
        <w:fldChar w:fldCharType="end"/>
      </w:r>
      <w:r>
        <w:rPr>
          <w:rFonts w:hint="eastAsia" w:ascii="宋体" w:hAnsi="宋体"/>
          <w:sz w:val="28"/>
          <w:szCs w:val="28"/>
        </w:rPr>
        <w:fldChar w:fldCharType="end"/>
      </w:r>
    </w:p>
    <w:p w14:paraId="6B3DF00E">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 HYPERLINK \l _Toc26892 </w:instrText>
      </w:r>
      <w:r>
        <w:rPr>
          <w:rFonts w:hint="eastAsia" w:ascii="宋体" w:hAnsi="宋体"/>
          <w:sz w:val="28"/>
          <w:szCs w:val="28"/>
        </w:rPr>
        <w:fldChar w:fldCharType="separate"/>
      </w:r>
      <w:r>
        <w:rPr>
          <w:rFonts w:hint="eastAsia" w:ascii="宋体" w:hAnsi="宋体" w:eastAsia="宋体" w:cs="宋体"/>
          <w:bCs/>
          <w:kern w:val="44"/>
          <w:sz w:val="28"/>
          <w:szCs w:val="28"/>
          <w:highlight w:val="none"/>
          <w:lang w:val="en-US" w:eastAsia="zh-CN" w:bidi="ar-SA"/>
        </w:rPr>
        <w:t>第二章 供应商须知</w:t>
      </w:r>
      <w:r>
        <w:rPr>
          <w:sz w:val="28"/>
          <w:szCs w:val="28"/>
        </w:rPr>
        <w:tab/>
      </w:r>
      <w:r>
        <w:rPr>
          <w:sz w:val="28"/>
          <w:szCs w:val="28"/>
        </w:rPr>
        <w:fldChar w:fldCharType="begin"/>
      </w:r>
      <w:r>
        <w:rPr>
          <w:sz w:val="28"/>
          <w:szCs w:val="28"/>
        </w:rPr>
        <w:instrText xml:space="preserve"> PAGEREF _Toc26892 \h </w:instrText>
      </w:r>
      <w:r>
        <w:rPr>
          <w:sz w:val="28"/>
          <w:szCs w:val="28"/>
        </w:rPr>
        <w:fldChar w:fldCharType="separate"/>
      </w:r>
      <w:r>
        <w:rPr>
          <w:sz w:val="28"/>
          <w:szCs w:val="28"/>
        </w:rPr>
        <w:t>3</w:t>
      </w:r>
      <w:r>
        <w:rPr>
          <w:sz w:val="28"/>
          <w:szCs w:val="28"/>
        </w:rPr>
        <w:fldChar w:fldCharType="end"/>
      </w:r>
      <w:r>
        <w:rPr>
          <w:rFonts w:hint="eastAsia" w:ascii="宋体" w:hAnsi="宋体"/>
          <w:sz w:val="28"/>
          <w:szCs w:val="28"/>
        </w:rPr>
        <w:fldChar w:fldCharType="end"/>
      </w:r>
    </w:p>
    <w:p w14:paraId="354BFC29">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 HYPERLINK \l _Toc339 </w:instrText>
      </w:r>
      <w:r>
        <w:rPr>
          <w:rFonts w:hint="eastAsia" w:ascii="宋体" w:hAnsi="宋体"/>
          <w:sz w:val="28"/>
          <w:szCs w:val="28"/>
        </w:rPr>
        <w:fldChar w:fldCharType="separate"/>
      </w:r>
      <w:r>
        <w:rPr>
          <w:rFonts w:hint="eastAsia" w:ascii="宋体" w:hAnsi="宋体" w:eastAsia="宋体" w:cs="宋体"/>
          <w:bCs/>
          <w:kern w:val="44"/>
          <w:sz w:val="28"/>
          <w:szCs w:val="28"/>
          <w:highlight w:val="none"/>
          <w:lang w:val="en-US" w:eastAsia="zh-CN" w:bidi="ar-SA"/>
        </w:rPr>
        <w:t>第三章 评审办法</w:t>
      </w:r>
      <w:r>
        <w:rPr>
          <w:sz w:val="28"/>
          <w:szCs w:val="28"/>
        </w:rPr>
        <w:tab/>
      </w:r>
      <w:r>
        <w:rPr>
          <w:sz w:val="28"/>
          <w:szCs w:val="28"/>
        </w:rPr>
        <w:fldChar w:fldCharType="begin"/>
      </w:r>
      <w:r>
        <w:rPr>
          <w:sz w:val="28"/>
          <w:szCs w:val="28"/>
        </w:rPr>
        <w:instrText xml:space="preserve"> PAGEREF _Toc339 \h </w:instrText>
      </w:r>
      <w:r>
        <w:rPr>
          <w:sz w:val="28"/>
          <w:szCs w:val="28"/>
        </w:rPr>
        <w:fldChar w:fldCharType="separate"/>
      </w:r>
      <w:r>
        <w:rPr>
          <w:sz w:val="28"/>
          <w:szCs w:val="28"/>
        </w:rPr>
        <w:t>10</w:t>
      </w:r>
      <w:r>
        <w:rPr>
          <w:sz w:val="28"/>
          <w:szCs w:val="28"/>
        </w:rPr>
        <w:fldChar w:fldCharType="end"/>
      </w:r>
      <w:r>
        <w:rPr>
          <w:rFonts w:hint="eastAsia" w:ascii="宋体" w:hAnsi="宋体"/>
          <w:sz w:val="28"/>
          <w:szCs w:val="28"/>
        </w:rPr>
        <w:fldChar w:fldCharType="end"/>
      </w:r>
    </w:p>
    <w:p w14:paraId="5A80B9A6">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_Toc17705 </w:instrText>
      </w:r>
      <w:r>
        <w:rPr>
          <w:rFonts w:hint="eastAsia" w:ascii="宋体" w:hAnsi="宋体"/>
          <w:sz w:val="28"/>
          <w:szCs w:val="28"/>
        </w:rPr>
        <w:fldChar w:fldCharType="separate"/>
      </w:r>
      <w:r>
        <w:rPr>
          <w:rFonts w:hint="eastAsia" w:ascii="宋体" w:hAnsi="宋体" w:cs="宋体"/>
          <w:sz w:val="28"/>
          <w:szCs w:val="28"/>
          <w:highlight w:val="none"/>
          <w:lang w:eastAsia="zh-CN"/>
        </w:rPr>
        <w:t>第四章</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合同</w:t>
      </w:r>
      <w:r>
        <w:rPr>
          <w:rFonts w:hint="eastAsia" w:ascii="宋体" w:hAnsi="宋体" w:cs="宋体"/>
          <w:sz w:val="28"/>
          <w:szCs w:val="28"/>
          <w:highlight w:val="none"/>
          <w:lang w:val="en-US" w:eastAsia="zh-CN"/>
        </w:rPr>
        <w:t>模板</w:t>
      </w:r>
      <w:r>
        <w:rPr>
          <w:sz w:val="28"/>
          <w:szCs w:val="28"/>
        </w:rPr>
        <w:tab/>
      </w:r>
      <w:r>
        <w:rPr>
          <w:sz w:val="28"/>
          <w:szCs w:val="28"/>
        </w:rPr>
        <w:fldChar w:fldCharType="begin"/>
      </w:r>
      <w:r>
        <w:rPr>
          <w:sz w:val="28"/>
          <w:szCs w:val="28"/>
        </w:rPr>
        <w:instrText xml:space="preserve"> PAGEREF _Toc17705 \h </w:instrText>
      </w:r>
      <w:r>
        <w:rPr>
          <w:sz w:val="28"/>
          <w:szCs w:val="28"/>
        </w:rPr>
        <w:fldChar w:fldCharType="separate"/>
      </w:r>
      <w:r>
        <w:rPr>
          <w:sz w:val="28"/>
          <w:szCs w:val="28"/>
        </w:rPr>
        <w:t>14</w:t>
      </w:r>
      <w:r>
        <w:rPr>
          <w:sz w:val="28"/>
          <w:szCs w:val="28"/>
        </w:rPr>
        <w:fldChar w:fldCharType="end"/>
      </w:r>
      <w:r>
        <w:rPr>
          <w:rFonts w:hint="eastAsia" w:ascii="宋体" w:hAnsi="宋体"/>
          <w:sz w:val="28"/>
          <w:szCs w:val="28"/>
        </w:rPr>
        <w:fldChar w:fldCharType="end"/>
      </w:r>
    </w:p>
    <w:p w14:paraId="142CE584">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_Toc16336 </w:instrText>
      </w:r>
      <w:r>
        <w:rPr>
          <w:rFonts w:hint="eastAsia" w:ascii="宋体" w:hAnsi="宋体"/>
          <w:sz w:val="28"/>
          <w:szCs w:val="28"/>
        </w:rPr>
        <w:fldChar w:fldCharType="separate"/>
      </w:r>
      <w:r>
        <w:rPr>
          <w:rFonts w:hint="eastAsia" w:ascii="宋体" w:hAnsi="宋体" w:cs="宋体"/>
          <w:sz w:val="28"/>
          <w:szCs w:val="28"/>
          <w:highlight w:val="none"/>
          <w:lang w:eastAsia="zh-CN"/>
        </w:rPr>
        <w:t>第五章</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采购需求</w:t>
      </w:r>
      <w:r>
        <w:rPr>
          <w:sz w:val="28"/>
          <w:szCs w:val="28"/>
        </w:rPr>
        <w:tab/>
      </w:r>
      <w:r>
        <w:rPr>
          <w:sz w:val="28"/>
          <w:szCs w:val="28"/>
        </w:rPr>
        <w:fldChar w:fldCharType="begin"/>
      </w:r>
      <w:r>
        <w:rPr>
          <w:sz w:val="28"/>
          <w:szCs w:val="28"/>
        </w:rPr>
        <w:instrText xml:space="preserve"> PAGEREF _Toc16336 \h </w:instrText>
      </w:r>
      <w:r>
        <w:rPr>
          <w:sz w:val="28"/>
          <w:szCs w:val="28"/>
        </w:rPr>
        <w:fldChar w:fldCharType="separate"/>
      </w:r>
      <w:r>
        <w:rPr>
          <w:sz w:val="28"/>
          <w:szCs w:val="28"/>
        </w:rPr>
        <w:t>20</w:t>
      </w:r>
      <w:r>
        <w:rPr>
          <w:sz w:val="28"/>
          <w:szCs w:val="28"/>
        </w:rPr>
        <w:fldChar w:fldCharType="end"/>
      </w:r>
      <w:r>
        <w:rPr>
          <w:rFonts w:hint="eastAsia" w:ascii="宋体" w:hAnsi="宋体"/>
          <w:sz w:val="28"/>
          <w:szCs w:val="28"/>
        </w:rPr>
        <w:fldChar w:fldCharType="end"/>
      </w:r>
    </w:p>
    <w:p w14:paraId="209E8B5C">
      <w:pPr>
        <w:pStyle w:val="15"/>
        <w:tabs>
          <w:tab w:val="right" w:leader="dot" w:pos="8306"/>
        </w:tabs>
        <w:rPr>
          <w:sz w:val="28"/>
          <w:szCs w:val="28"/>
        </w:rPr>
      </w:pPr>
      <w:r>
        <w:rPr>
          <w:rFonts w:hint="eastAsia" w:ascii="宋体" w:hAnsi="宋体"/>
          <w:sz w:val="28"/>
          <w:szCs w:val="28"/>
        </w:rPr>
        <w:fldChar w:fldCharType="begin"/>
      </w:r>
      <w:r>
        <w:rPr>
          <w:rFonts w:hint="eastAsia" w:ascii="宋体" w:hAnsi="宋体"/>
          <w:sz w:val="28"/>
          <w:szCs w:val="28"/>
        </w:rPr>
        <w:instrText xml:space="preserve"> HYPERLINK \l _Toc30932 </w:instrText>
      </w:r>
      <w:r>
        <w:rPr>
          <w:rFonts w:hint="eastAsia" w:ascii="宋体" w:hAnsi="宋体"/>
          <w:sz w:val="28"/>
          <w:szCs w:val="28"/>
        </w:rPr>
        <w:fldChar w:fldCharType="separate"/>
      </w:r>
      <w:r>
        <w:rPr>
          <w:rFonts w:hint="eastAsia" w:ascii="宋体" w:hAnsi="宋体" w:cs="宋体"/>
          <w:sz w:val="28"/>
          <w:szCs w:val="28"/>
          <w:highlight w:val="none"/>
        </w:rPr>
        <w:t>第</w:t>
      </w:r>
      <w:r>
        <w:rPr>
          <w:rFonts w:hint="eastAsia" w:ascii="宋体" w:hAnsi="宋体" w:eastAsia="宋体" w:cs="宋体"/>
          <w:sz w:val="28"/>
          <w:szCs w:val="28"/>
          <w:highlight w:val="none"/>
          <w:lang w:eastAsia="zh-CN"/>
        </w:rPr>
        <w:t>六</w:t>
      </w:r>
      <w:r>
        <w:rPr>
          <w:rFonts w:hint="eastAsia" w:ascii="宋体" w:hAnsi="宋体" w:cs="宋体"/>
          <w:sz w:val="28"/>
          <w:szCs w:val="28"/>
          <w:highlight w:val="none"/>
        </w:rPr>
        <w:t>章 响应文件格式</w:t>
      </w:r>
      <w:r>
        <w:rPr>
          <w:sz w:val="28"/>
          <w:szCs w:val="28"/>
        </w:rPr>
        <w:tab/>
      </w:r>
      <w:r>
        <w:rPr>
          <w:sz w:val="28"/>
          <w:szCs w:val="28"/>
        </w:rPr>
        <w:fldChar w:fldCharType="begin"/>
      </w:r>
      <w:r>
        <w:rPr>
          <w:sz w:val="28"/>
          <w:szCs w:val="28"/>
        </w:rPr>
        <w:instrText xml:space="preserve"> PAGEREF _Toc30932 \h </w:instrText>
      </w:r>
      <w:r>
        <w:rPr>
          <w:sz w:val="28"/>
          <w:szCs w:val="28"/>
        </w:rPr>
        <w:fldChar w:fldCharType="separate"/>
      </w:r>
      <w:r>
        <w:rPr>
          <w:sz w:val="28"/>
          <w:szCs w:val="28"/>
        </w:rPr>
        <w:t>24</w:t>
      </w:r>
      <w:r>
        <w:rPr>
          <w:sz w:val="28"/>
          <w:szCs w:val="28"/>
        </w:rPr>
        <w:fldChar w:fldCharType="end"/>
      </w:r>
      <w:r>
        <w:rPr>
          <w:rFonts w:hint="eastAsia" w:ascii="宋体" w:hAnsi="宋体"/>
          <w:sz w:val="28"/>
          <w:szCs w:val="28"/>
        </w:rPr>
        <w:fldChar w:fldCharType="end"/>
      </w:r>
    </w:p>
    <w:p w14:paraId="7BFAF519">
      <w:pPr>
        <w:pStyle w:val="9"/>
        <w:ind w:left="0" w:leftChars="0" w:firstLine="0"/>
        <w:rPr>
          <w:rFonts w:hint="eastAsia" w:ascii="宋体" w:hAnsi="宋体"/>
          <w:sz w:val="28"/>
          <w:szCs w:val="28"/>
        </w:rPr>
      </w:pPr>
      <w:r>
        <w:rPr>
          <w:rFonts w:hint="eastAsia" w:ascii="宋体" w:hAnsi="宋体"/>
          <w:sz w:val="28"/>
          <w:szCs w:val="28"/>
        </w:rPr>
        <w:fldChar w:fldCharType="end"/>
      </w:r>
    </w:p>
    <w:p w14:paraId="2B1F47F2">
      <w:pPr>
        <w:pStyle w:val="9"/>
        <w:rPr>
          <w:rFonts w:hint="eastAsia" w:ascii="宋体" w:hAnsi="宋体"/>
          <w:sz w:val="28"/>
          <w:szCs w:val="28"/>
        </w:rPr>
      </w:pPr>
    </w:p>
    <w:p w14:paraId="7576BAD8">
      <w:pPr>
        <w:pStyle w:val="2"/>
        <w:numPr>
          <w:ilvl w:val="0"/>
          <w:numId w:val="1"/>
        </w:numPr>
        <w:bidi w:val="0"/>
        <w:rPr>
          <w:rFonts w:hint="eastAsia"/>
        </w:rPr>
        <w:sectPr>
          <w:pgSz w:w="11906" w:h="16838"/>
          <w:pgMar w:top="1440" w:right="1800" w:bottom="1440" w:left="1800" w:header="851" w:footer="992" w:gutter="0"/>
          <w:pgNumType w:fmt="decimal"/>
          <w:cols w:space="720" w:num="1"/>
          <w:docGrid w:type="lines" w:linePitch="312" w:charSpace="0"/>
        </w:sectPr>
      </w:pPr>
    </w:p>
    <w:p w14:paraId="7F3B7D24">
      <w:pPr>
        <w:pStyle w:val="2"/>
        <w:numPr>
          <w:ilvl w:val="0"/>
          <w:numId w:val="1"/>
        </w:numPr>
        <w:bidi w:val="0"/>
        <w:rPr>
          <w:rFonts w:hint="eastAsia"/>
        </w:rPr>
      </w:pPr>
      <w:bookmarkStart w:id="4" w:name="OLE_LINK34"/>
      <w:r>
        <w:rPr>
          <w:rFonts w:hint="eastAsia"/>
          <w:lang w:val="en-US" w:eastAsia="zh-CN"/>
        </w:rPr>
        <w:t xml:space="preserve"> </w:t>
      </w:r>
      <w:bookmarkStart w:id="5" w:name="_Toc6684"/>
      <w:r>
        <w:rPr>
          <w:rFonts w:hint="eastAsia"/>
        </w:rPr>
        <w:t>询</w:t>
      </w:r>
      <w:r>
        <w:rPr>
          <w:rFonts w:hint="eastAsia"/>
          <w:lang w:eastAsia="zh-CN"/>
        </w:rPr>
        <w:t>比</w:t>
      </w:r>
      <w:r>
        <w:rPr>
          <w:rFonts w:hint="eastAsia"/>
        </w:rPr>
        <w:t>公告</w:t>
      </w:r>
      <w:bookmarkEnd w:id="2"/>
      <w:bookmarkEnd w:id="3"/>
      <w:bookmarkEnd w:id="5"/>
    </w:p>
    <w:bookmarkEnd w:id="4"/>
    <w:p w14:paraId="26BE7B9C">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rPr>
      </w:pPr>
      <w:bookmarkStart w:id="6" w:name="OLE_LINK15"/>
      <w:bookmarkStart w:id="7" w:name="OLE_LINK28"/>
      <w:bookmarkStart w:id="8" w:name="OLE_LINK26"/>
      <w:r>
        <w:rPr>
          <w:rFonts w:hint="eastAsia" w:asciiTheme="minorEastAsia" w:hAnsiTheme="minorEastAsia" w:cstheme="minorEastAsia"/>
          <w:sz w:val="24"/>
          <w:lang w:eastAsia="zh-CN"/>
        </w:rPr>
        <w:t>红河哈尼族彝族自治州第三人民医院眼科耗材采购项目（三次）</w:t>
      </w:r>
      <w:r>
        <w:rPr>
          <w:rFonts w:hint="eastAsia" w:asciiTheme="minorEastAsia" w:hAnsiTheme="minorEastAsia" w:eastAsiaTheme="minorEastAsia" w:cstheme="minorEastAsia"/>
          <w:sz w:val="24"/>
        </w:rPr>
        <w:t>资金已落实。根据采购人内部管理规定，本项目采取询比方式进行采购，现发布询比公告。</w:t>
      </w:r>
    </w:p>
    <w:p w14:paraId="3E91307C">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textAlignment w:val="auto"/>
        <w:outlineLvl w:val="1"/>
        <w:rPr>
          <w:rFonts w:hint="eastAsia"/>
          <w:b/>
          <w:bCs/>
          <w:color w:val="auto"/>
          <w:highlight w:val="none"/>
        </w:rPr>
      </w:pPr>
      <w:bookmarkStart w:id="9" w:name="_Toc17602"/>
      <w:bookmarkStart w:id="10" w:name="_Toc29355"/>
      <w:r>
        <w:rPr>
          <w:rFonts w:hint="eastAsia"/>
          <w:b/>
          <w:bCs/>
          <w:color w:val="auto"/>
          <w:highlight w:val="none"/>
        </w:rPr>
        <w:t>一、项目基本情况</w:t>
      </w:r>
      <w:bookmarkEnd w:id="9"/>
      <w:bookmarkEnd w:id="10"/>
    </w:p>
    <w:p w14:paraId="21A968FD">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color w:val="auto"/>
          <w:highlight w:val="none"/>
          <w:lang w:eastAsia="zh-CN"/>
        </w:rPr>
      </w:pPr>
      <w:bookmarkStart w:id="11" w:name="OLE_LINK24"/>
      <w:r>
        <w:rPr>
          <w:rFonts w:hint="eastAsia"/>
          <w:color w:val="auto"/>
          <w:highlight w:val="none"/>
          <w:lang w:val="en-US" w:eastAsia="zh-CN"/>
        </w:rPr>
        <w:t>1.</w:t>
      </w:r>
      <w:r>
        <w:rPr>
          <w:rFonts w:hint="eastAsia"/>
          <w:color w:val="auto"/>
          <w:highlight w:val="none"/>
        </w:rPr>
        <w:t>项目</w:t>
      </w:r>
      <w:r>
        <w:rPr>
          <w:rFonts w:hint="eastAsia"/>
          <w:color w:val="auto"/>
          <w:highlight w:val="none"/>
          <w:lang w:eastAsia="zh-CN"/>
        </w:rPr>
        <w:t>名称：</w:t>
      </w:r>
      <w:bookmarkEnd w:id="11"/>
      <w:bookmarkStart w:id="12" w:name="OLE_LINK39"/>
      <w:r>
        <w:rPr>
          <w:rFonts w:hint="eastAsia"/>
          <w:color w:val="auto"/>
          <w:highlight w:val="none"/>
          <w:lang w:eastAsia="zh-CN"/>
        </w:rPr>
        <w:t>红河哈尼族彝族自治州第三人民医院眼科耗材采购项目（三次）</w:t>
      </w:r>
    </w:p>
    <w:bookmarkEnd w:id="12"/>
    <w:p w14:paraId="60F38CCB">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项目编号</w:t>
      </w:r>
      <w:r>
        <w:rPr>
          <w:rFonts w:hint="eastAsia"/>
          <w:color w:val="auto"/>
          <w:highlight w:val="none"/>
          <w:lang w:eastAsia="zh-CN"/>
        </w:rPr>
        <w:t>：HHZSY-YNCG-089-202500916</w:t>
      </w:r>
    </w:p>
    <w:p w14:paraId="2EE124EF">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default" w:ascii="宋体" w:hAnsi="宋体" w:cs="宋体"/>
          <w:color w:val="auto"/>
          <w:highlight w:val="none"/>
          <w:lang w:val="en-US" w:eastAsia="zh-CN"/>
        </w:rPr>
      </w:pPr>
      <w:r>
        <w:rPr>
          <w:rFonts w:hint="eastAsia" w:cs="宋体"/>
          <w:color w:val="auto"/>
          <w:highlight w:val="none"/>
          <w:lang w:val="en-US" w:eastAsia="zh-CN"/>
        </w:rPr>
        <w:t>3</w:t>
      </w:r>
      <w:r>
        <w:rPr>
          <w:rFonts w:hint="eastAsia" w:ascii="宋体" w:hAnsi="宋体" w:cs="宋体"/>
          <w:color w:val="auto"/>
          <w:highlight w:val="none"/>
          <w:lang w:val="en-US" w:eastAsia="zh-CN"/>
        </w:rPr>
        <w:t>.</w:t>
      </w:r>
      <w:bookmarkStart w:id="13" w:name="OLE_LINK27"/>
      <w:r>
        <w:rPr>
          <w:rFonts w:hint="eastAsia" w:ascii="宋体" w:hAnsi="宋体" w:cs="宋体"/>
          <w:color w:val="auto"/>
          <w:highlight w:val="none"/>
          <w:lang w:eastAsia="zh-CN"/>
        </w:rPr>
        <w:t>采购</w:t>
      </w:r>
      <w:r>
        <w:rPr>
          <w:rFonts w:hint="eastAsia" w:ascii="宋体" w:hAnsi="宋体" w:cs="宋体"/>
          <w:color w:val="auto"/>
          <w:highlight w:val="none"/>
          <w:lang w:val="en-US" w:eastAsia="zh-CN"/>
        </w:rPr>
        <w:t>需求</w:t>
      </w:r>
      <w:r>
        <w:rPr>
          <w:rFonts w:hint="eastAsia" w:ascii="宋体" w:hAnsi="宋体" w:cs="宋体"/>
          <w:color w:val="auto"/>
          <w:highlight w:val="none"/>
        </w:rPr>
        <w:t>：</w:t>
      </w:r>
      <w:bookmarkEnd w:id="13"/>
    </w:p>
    <w:tbl>
      <w:tblPr>
        <w:tblStyle w:val="22"/>
        <w:tblW w:w="10500" w:type="dxa"/>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876"/>
        <w:gridCol w:w="3749"/>
        <w:gridCol w:w="1068"/>
        <w:gridCol w:w="1500"/>
        <w:gridCol w:w="1669"/>
      </w:tblGrid>
      <w:tr w14:paraId="11D9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638" w:type="dxa"/>
            <w:tcBorders>
              <w:top w:val="single" w:color="000000" w:sz="4" w:space="0"/>
              <w:left w:val="single" w:color="000000" w:sz="4" w:space="0"/>
              <w:bottom w:val="single" w:color="auto" w:sz="4" w:space="0"/>
              <w:right w:val="single" w:color="000000" w:sz="4" w:space="0"/>
            </w:tcBorders>
            <w:noWrap w:val="0"/>
            <w:vAlign w:val="center"/>
          </w:tcPr>
          <w:p w14:paraId="319B851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bookmarkStart w:id="14" w:name="OLE_LINK53" w:colFirst="0" w:colLast="5"/>
            <w:bookmarkStart w:id="15" w:name="OLE_LINK52" w:colFirst="1" w:colLast="4"/>
            <w:r>
              <w:rPr>
                <w:rFonts w:hint="eastAsia" w:ascii="宋体" w:hAnsi="宋体" w:cs="宋体"/>
                <w:color w:val="auto"/>
                <w:kern w:val="0"/>
                <w:sz w:val="24"/>
                <w:szCs w:val="24"/>
                <w:highlight w:val="none"/>
                <w:lang w:val="en-US" w:eastAsia="zh-CN" w:bidi="ar-SA"/>
              </w:rPr>
              <w:t>包号</w:t>
            </w:r>
          </w:p>
        </w:tc>
        <w:tc>
          <w:tcPr>
            <w:tcW w:w="1876" w:type="dxa"/>
            <w:tcBorders>
              <w:top w:val="single" w:color="000000" w:sz="4" w:space="0"/>
              <w:left w:val="single" w:color="000000" w:sz="4" w:space="0"/>
              <w:bottom w:val="single" w:color="auto" w:sz="4" w:space="0"/>
              <w:right w:val="single" w:color="000000" w:sz="4" w:space="0"/>
            </w:tcBorders>
            <w:noWrap w:val="0"/>
            <w:vAlign w:val="center"/>
          </w:tcPr>
          <w:p w14:paraId="3DA85578">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使用科室</w:t>
            </w:r>
          </w:p>
        </w:tc>
        <w:tc>
          <w:tcPr>
            <w:tcW w:w="3749" w:type="dxa"/>
            <w:tcBorders>
              <w:top w:val="single" w:color="000000" w:sz="4" w:space="0"/>
              <w:left w:val="single" w:color="000000" w:sz="4" w:space="0"/>
              <w:bottom w:val="single" w:color="auto" w:sz="4" w:space="0"/>
              <w:right w:val="single" w:color="000000" w:sz="4" w:space="0"/>
            </w:tcBorders>
            <w:noWrap w:val="0"/>
            <w:vAlign w:val="center"/>
          </w:tcPr>
          <w:p w14:paraId="1717EDF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名称</w:t>
            </w:r>
          </w:p>
        </w:tc>
        <w:tc>
          <w:tcPr>
            <w:tcW w:w="1068" w:type="dxa"/>
            <w:tcBorders>
              <w:top w:val="single" w:color="000000" w:sz="4" w:space="0"/>
              <w:left w:val="single" w:color="000000" w:sz="4" w:space="0"/>
              <w:bottom w:val="single" w:color="auto" w:sz="4" w:space="0"/>
              <w:right w:val="single" w:color="000000" w:sz="4" w:space="0"/>
            </w:tcBorders>
            <w:noWrap w:val="0"/>
            <w:vAlign w:val="center"/>
          </w:tcPr>
          <w:p w14:paraId="55B7EB1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单位</w:t>
            </w:r>
          </w:p>
        </w:tc>
        <w:tc>
          <w:tcPr>
            <w:tcW w:w="1500" w:type="dxa"/>
            <w:tcBorders>
              <w:top w:val="single" w:color="000000" w:sz="4" w:space="0"/>
              <w:left w:val="single" w:color="000000" w:sz="4" w:space="0"/>
              <w:bottom w:val="single" w:color="auto" w:sz="4" w:space="0"/>
              <w:right w:val="single" w:color="000000" w:sz="4" w:space="0"/>
            </w:tcBorders>
            <w:noWrap w:val="0"/>
            <w:vAlign w:val="center"/>
          </w:tcPr>
          <w:p w14:paraId="476152C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控制单价（元）</w:t>
            </w:r>
          </w:p>
        </w:tc>
        <w:tc>
          <w:tcPr>
            <w:tcW w:w="1669" w:type="dxa"/>
            <w:tcBorders>
              <w:top w:val="single" w:color="000000" w:sz="4" w:space="0"/>
              <w:left w:val="single" w:color="000000" w:sz="4" w:space="0"/>
              <w:bottom w:val="single" w:color="auto" w:sz="4" w:space="0"/>
              <w:right w:val="single" w:color="000000" w:sz="4" w:space="0"/>
            </w:tcBorders>
            <w:noWrap w:val="0"/>
            <w:vAlign w:val="center"/>
          </w:tcPr>
          <w:p w14:paraId="70DD3D1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采购数量</w:t>
            </w:r>
          </w:p>
        </w:tc>
      </w:tr>
      <w:tr w14:paraId="7B62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14:paraId="3D717FF5">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bookmarkStart w:id="16" w:name="OLE_LINK40" w:colFirst="1" w:colLast="1"/>
            <w:r>
              <w:rPr>
                <w:rFonts w:hint="eastAsia" w:ascii="宋体" w:hAnsi="宋体" w:cs="宋体"/>
                <w:color w:val="auto"/>
                <w:kern w:val="0"/>
                <w:sz w:val="24"/>
                <w:szCs w:val="24"/>
                <w:highlight w:val="none"/>
                <w:lang w:val="en-US" w:eastAsia="zh-CN" w:bidi="ar-SA"/>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5C8F8C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眼科</w:t>
            </w:r>
          </w:p>
        </w:tc>
        <w:tc>
          <w:tcPr>
            <w:tcW w:w="3749" w:type="dxa"/>
            <w:tcBorders>
              <w:top w:val="single" w:color="auto" w:sz="4" w:space="0"/>
              <w:left w:val="single" w:color="000000" w:sz="4" w:space="0"/>
              <w:bottom w:val="single" w:color="auto" w:sz="4" w:space="0"/>
              <w:right w:val="single" w:color="auto" w:sz="4" w:space="0"/>
            </w:tcBorders>
            <w:noWrap w:val="0"/>
            <w:vAlign w:val="center"/>
          </w:tcPr>
          <w:p w14:paraId="12E3047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一次性使用无菌眼科手术刀</w:t>
            </w:r>
          </w:p>
        </w:tc>
        <w:tc>
          <w:tcPr>
            <w:tcW w:w="1068" w:type="dxa"/>
            <w:tcBorders>
              <w:top w:val="single" w:color="000000" w:sz="4" w:space="0"/>
              <w:left w:val="single" w:color="000000" w:sz="4" w:space="0"/>
              <w:bottom w:val="single" w:color="000000" w:sz="4" w:space="0"/>
              <w:right w:val="single" w:color="auto" w:sz="4" w:space="0"/>
            </w:tcBorders>
            <w:noWrap w:val="0"/>
            <w:vAlign w:val="center"/>
          </w:tcPr>
          <w:p w14:paraId="177AEB3D">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500" w:type="dxa"/>
            <w:tcBorders>
              <w:top w:val="single" w:color="000000" w:sz="4" w:space="0"/>
              <w:left w:val="single" w:color="000000" w:sz="4" w:space="0"/>
              <w:bottom w:val="single" w:color="000000" w:sz="4" w:space="0"/>
              <w:right w:val="single" w:color="auto" w:sz="4" w:space="0"/>
            </w:tcBorders>
            <w:noWrap w:val="0"/>
            <w:vAlign w:val="center"/>
          </w:tcPr>
          <w:p w14:paraId="09BD8055">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59.00</w:t>
            </w:r>
          </w:p>
        </w:tc>
        <w:tc>
          <w:tcPr>
            <w:tcW w:w="1669" w:type="dxa"/>
            <w:tcBorders>
              <w:top w:val="single" w:color="000000" w:sz="4" w:space="0"/>
              <w:left w:val="single" w:color="000000" w:sz="4" w:space="0"/>
              <w:bottom w:val="single" w:color="000000" w:sz="4" w:space="0"/>
              <w:right w:val="single" w:color="auto" w:sz="4" w:space="0"/>
            </w:tcBorders>
            <w:noWrap w:val="0"/>
            <w:vAlign w:val="center"/>
          </w:tcPr>
          <w:p w14:paraId="6BCCDD5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14:paraId="4BB9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14:paraId="5FF1400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97932E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眼科</w:t>
            </w:r>
          </w:p>
        </w:tc>
        <w:tc>
          <w:tcPr>
            <w:tcW w:w="3749" w:type="dxa"/>
            <w:tcBorders>
              <w:top w:val="single" w:color="auto" w:sz="4" w:space="0"/>
              <w:left w:val="single" w:color="000000" w:sz="4" w:space="0"/>
              <w:bottom w:val="single" w:color="000000" w:sz="4" w:space="0"/>
              <w:right w:val="single" w:color="auto" w:sz="4" w:space="0"/>
            </w:tcBorders>
            <w:noWrap w:val="0"/>
            <w:vAlign w:val="center"/>
          </w:tcPr>
          <w:p w14:paraId="0FE48ED2">
            <w:pPr>
              <w:jc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有晶体眼人工晶体</w:t>
            </w:r>
          </w:p>
        </w:tc>
        <w:tc>
          <w:tcPr>
            <w:tcW w:w="1068" w:type="dxa"/>
            <w:tcBorders>
              <w:top w:val="single" w:color="000000" w:sz="4" w:space="0"/>
              <w:left w:val="single" w:color="000000" w:sz="4" w:space="0"/>
              <w:bottom w:val="single" w:color="000000" w:sz="4" w:space="0"/>
              <w:right w:val="single" w:color="auto" w:sz="4" w:space="0"/>
            </w:tcBorders>
            <w:noWrap w:val="0"/>
            <w:vAlign w:val="center"/>
          </w:tcPr>
          <w:p w14:paraId="0D15C948">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枚</w:t>
            </w:r>
          </w:p>
        </w:tc>
        <w:tc>
          <w:tcPr>
            <w:tcW w:w="1500" w:type="dxa"/>
            <w:tcBorders>
              <w:top w:val="single" w:color="000000" w:sz="4" w:space="0"/>
              <w:left w:val="single" w:color="000000" w:sz="4" w:space="0"/>
              <w:bottom w:val="single" w:color="000000" w:sz="4" w:space="0"/>
              <w:right w:val="single" w:color="auto" w:sz="4" w:space="0"/>
            </w:tcBorders>
            <w:noWrap w:val="0"/>
            <w:vAlign w:val="center"/>
          </w:tcPr>
          <w:p w14:paraId="06223FCA">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14000.00</w:t>
            </w:r>
          </w:p>
        </w:tc>
        <w:tc>
          <w:tcPr>
            <w:tcW w:w="1669" w:type="dxa"/>
            <w:tcBorders>
              <w:top w:val="single" w:color="000000" w:sz="4" w:space="0"/>
              <w:left w:val="single" w:color="000000" w:sz="4" w:space="0"/>
              <w:bottom w:val="single" w:color="000000" w:sz="4" w:space="0"/>
              <w:right w:val="single" w:color="auto" w:sz="4" w:space="0"/>
            </w:tcBorders>
            <w:noWrap w:val="0"/>
            <w:vAlign w:val="center"/>
          </w:tcPr>
          <w:p w14:paraId="1BC5B2B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bookmarkEnd w:id="14"/>
      <w:bookmarkEnd w:id="15"/>
      <w:bookmarkEnd w:id="16"/>
    </w:tbl>
    <w:p w14:paraId="2D10DC87">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default" w:ascii="宋体" w:hAnsi="宋体" w:cs="宋体"/>
          <w:color w:val="auto"/>
          <w:highlight w:val="none"/>
          <w:lang w:val="en-US" w:eastAsia="zh-CN"/>
        </w:rPr>
      </w:pPr>
    </w:p>
    <w:p w14:paraId="32F1CC31">
      <w:pPr>
        <w:pStyle w:val="20"/>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ascii="宋体" w:hAnsi="宋体" w:cs="宋体"/>
          <w:color w:val="auto"/>
          <w:highlight w:val="none"/>
          <w:lang w:val="en-US" w:eastAsia="zh-CN"/>
        </w:rPr>
      </w:pPr>
      <w:r>
        <w:rPr>
          <w:rFonts w:hint="eastAsia" w:ascii="宋体" w:hAnsi="宋体" w:cs="宋体"/>
          <w:color w:val="auto"/>
          <w:highlight w:val="none"/>
        </w:rPr>
        <w:t>合</w:t>
      </w:r>
      <w:r>
        <w:rPr>
          <w:rFonts w:hint="eastAsia" w:ascii="宋体" w:hAnsi="宋体" w:cs="宋体"/>
          <w:color w:val="auto"/>
          <w:highlight w:val="none"/>
          <w:lang w:eastAsia="zh-CN"/>
        </w:rPr>
        <w:t>同履约期限：履约期3年，</w:t>
      </w:r>
      <w:r>
        <w:rPr>
          <w:rFonts w:hint="eastAsia" w:ascii="宋体" w:hAnsi="宋体" w:cs="宋体"/>
          <w:color w:val="auto"/>
          <w:highlight w:val="none"/>
          <w:lang w:val="en-US" w:eastAsia="zh-CN"/>
        </w:rPr>
        <w:t>一年一考核（具体考核校准由设备科执行）</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协议期内固定单价按需采购。 </w:t>
      </w:r>
    </w:p>
    <w:p w14:paraId="7565B630">
      <w:pPr>
        <w:pStyle w:val="2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cs="宋体"/>
          <w:color w:val="auto"/>
          <w:highlight w:val="none"/>
          <w:lang w:val="en-US" w:eastAsia="zh-CN"/>
        </w:rPr>
      </w:pPr>
      <w:r>
        <w:rPr>
          <w:rFonts w:hint="eastAsia" w:cs="宋体"/>
          <w:color w:val="auto"/>
          <w:highlight w:val="none"/>
          <w:lang w:val="en-US" w:eastAsia="zh-CN"/>
        </w:rPr>
        <w:t>5</w:t>
      </w:r>
      <w:r>
        <w:rPr>
          <w:rFonts w:hint="eastAsia" w:ascii="宋体" w:hAnsi="宋体" w:cs="宋体"/>
          <w:color w:val="auto"/>
          <w:highlight w:val="none"/>
          <w:lang w:val="en-US" w:eastAsia="zh-CN"/>
        </w:rPr>
        <w:t>.</w:t>
      </w:r>
      <w:r>
        <w:rPr>
          <w:rFonts w:hint="eastAsia" w:ascii="宋体" w:hAnsi="宋体" w:cs="宋体"/>
          <w:color w:val="auto"/>
          <w:highlight w:val="none"/>
          <w:lang w:eastAsia="zh-CN"/>
        </w:rPr>
        <w:t>本项目（否）接受联合体投标。</w:t>
      </w:r>
    </w:p>
    <w:p w14:paraId="4CB319B7">
      <w:pPr>
        <w:pStyle w:val="20"/>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textAlignment w:val="auto"/>
        <w:outlineLvl w:val="1"/>
        <w:rPr>
          <w:rFonts w:hint="eastAsia"/>
          <w:b/>
          <w:bCs/>
          <w:color w:val="auto"/>
          <w:sz w:val="24"/>
          <w:szCs w:val="24"/>
          <w:highlight w:val="none"/>
        </w:rPr>
      </w:pPr>
      <w:bookmarkStart w:id="17" w:name="_Toc25285"/>
      <w:bookmarkStart w:id="18" w:name="_Toc24917"/>
      <w:r>
        <w:rPr>
          <w:rFonts w:hint="eastAsia"/>
          <w:b/>
          <w:bCs/>
          <w:color w:val="auto"/>
          <w:sz w:val="21"/>
          <w:szCs w:val="21"/>
          <w:highlight w:val="none"/>
        </w:rPr>
        <w:t>二、</w:t>
      </w:r>
      <w:r>
        <w:rPr>
          <w:rFonts w:hint="eastAsia"/>
          <w:b/>
          <w:bCs/>
          <w:color w:val="auto"/>
          <w:sz w:val="24"/>
          <w:szCs w:val="24"/>
          <w:highlight w:val="none"/>
        </w:rPr>
        <w:t>申请人的资格要求</w:t>
      </w:r>
      <w:bookmarkEnd w:id="17"/>
      <w:bookmarkEnd w:id="18"/>
    </w:p>
    <w:p w14:paraId="57C28761">
      <w:pPr>
        <w:pStyle w:val="20"/>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textAlignment w:val="auto"/>
        <w:outlineLvl w:val="9"/>
        <w:rPr>
          <w:rFonts w:hint="eastAsia" w:ascii="宋体" w:hAnsi="宋体" w:eastAsia="宋体" w:cs="宋体"/>
          <w:sz w:val="24"/>
          <w:szCs w:val="24"/>
          <w:lang w:eastAsia="zh-CN"/>
        </w:rPr>
      </w:pPr>
      <w:r>
        <w:rPr>
          <w:rFonts w:hint="eastAsia"/>
          <w:b w:val="0"/>
          <w:bCs w:val="0"/>
          <w:color w:val="auto"/>
          <w:sz w:val="24"/>
          <w:szCs w:val="24"/>
          <w:highlight w:val="none"/>
          <w:lang w:val="en-US" w:eastAsia="zh-CN"/>
        </w:rPr>
        <w:t>1.供应商应</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的基本资格要求；</w:t>
      </w:r>
    </w:p>
    <w:p w14:paraId="525B408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2.特定资格要求：</w:t>
      </w:r>
      <w:bookmarkStart w:id="19" w:name="OLE_LINK38"/>
      <w:r>
        <w:rPr>
          <w:rFonts w:hint="eastAsia" w:ascii="宋体" w:hAnsi="宋体" w:cs="宋体"/>
          <w:b/>
          <w:bCs/>
          <w:color w:val="auto"/>
          <w:sz w:val="24"/>
          <w:szCs w:val="24"/>
          <w:highlight w:val="none"/>
          <w:lang w:val="en-US" w:eastAsia="zh-CN"/>
        </w:rPr>
        <w:t>供应商应具有有效的且与所报项目（采购包）相适应的医疗器械生产许可或经营许可，即：供应商为生产企业，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2）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bookmarkEnd w:id="19"/>
    </w:p>
    <w:p w14:paraId="3BDBD017">
      <w:pPr>
        <w:pStyle w:val="20"/>
        <w:snapToGrid w:val="0"/>
        <w:spacing w:before="75" w:beforeAutospacing="0" w:after="75" w:afterAutospacing="0" w:line="336" w:lineRule="auto"/>
        <w:outlineLvl w:val="1"/>
        <w:rPr>
          <w:rFonts w:hint="eastAsia" w:ascii="宋体" w:hAnsi="宋体" w:eastAsia="宋体" w:cs="宋体"/>
          <w:b/>
          <w:bCs/>
          <w:color w:val="auto"/>
          <w:highlight w:val="none"/>
        </w:rPr>
      </w:pPr>
      <w:bookmarkStart w:id="20" w:name="_Toc1849"/>
      <w:bookmarkStart w:id="21" w:name="_Toc18277"/>
      <w:r>
        <w:rPr>
          <w:rFonts w:hint="eastAsia" w:ascii="宋体" w:hAnsi="宋体" w:eastAsia="宋体" w:cs="宋体"/>
          <w:b/>
          <w:bCs/>
          <w:color w:val="auto"/>
          <w:highlight w:val="none"/>
        </w:rPr>
        <w:t>三、获取采购文件 </w:t>
      </w:r>
      <w:bookmarkEnd w:id="20"/>
      <w:bookmarkEnd w:id="21"/>
    </w:p>
    <w:p w14:paraId="799A94BD">
      <w:pPr>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22" w:name="_Toc35393801"/>
      <w:bookmarkStart w:id="23" w:name="_Toc28359015"/>
      <w:bookmarkStart w:id="24" w:name="_Toc35393632"/>
      <w:bookmarkStart w:id="25" w:name="_Toc28359092"/>
      <w:bookmarkStart w:id="26" w:name="_Toc30839"/>
      <w:r>
        <w:rPr>
          <w:rFonts w:hint="eastAsia" w:ascii="宋体" w:hAnsi="宋体"/>
          <w:color w:val="000000"/>
          <w:sz w:val="24"/>
          <w:lang w:val="en-US" w:eastAsia="zh-CN"/>
        </w:rPr>
        <w:t>1.获取</w:t>
      </w:r>
      <w:r>
        <w:rPr>
          <w:rFonts w:hint="eastAsia" w:ascii="宋体" w:hAnsi="宋体"/>
          <w:color w:val="000000"/>
          <w:sz w:val="24"/>
        </w:rPr>
        <w:t>采购文件时间</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10</w:t>
      </w:r>
      <w:r>
        <w:rPr>
          <w:rFonts w:hint="eastAsia" w:ascii="宋体" w:hAnsi="宋体"/>
          <w:color w:val="000000"/>
          <w:sz w:val="24"/>
          <w:u w:val="single"/>
        </w:rPr>
        <w:t>月</w:t>
      </w:r>
      <w:r>
        <w:rPr>
          <w:rFonts w:hint="eastAsia" w:ascii="宋体" w:hAnsi="宋体"/>
          <w:color w:val="000000"/>
          <w:sz w:val="24"/>
          <w:u w:val="single"/>
          <w:lang w:val="en-US" w:eastAsia="zh-CN"/>
        </w:rPr>
        <w:t>30</w:t>
      </w:r>
      <w:r>
        <w:rPr>
          <w:rFonts w:hint="eastAsia" w:ascii="宋体" w:hAnsi="宋体"/>
          <w:color w:val="000000"/>
          <w:sz w:val="24"/>
          <w:u w:val="single"/>
        </w:rPr>
        <w:t>日</w:t>
      </w:r>
      <w:r>
        <w:rPr>
          <w:rFonts w:hint="eastAsia" w:ascii="宋体" w:hAnsi="宋体"/>
          <w:color w:val="000000"/>
          <w:sz w:val="24"/>
        </w:rPr>
        <w:t>至</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11</w:t>
      </w:r>
      <w:r>
        <w:rPr>
          <w:rFonts w:hint="eastAsia" w:ascii="宋体" w:hAnsi="宋体"/>
          <w:color w:val="000000"/>
          <w:sz w:val="24"/>
          <w:u w:val="single"/>
        </w:rPr>
        <w:t>月</w:t>
      </w:r>
      <w:r>
        <w:rPr>
          <w:rFonts w:hint="eastAsia" w:ascii="宋体" w:hAnsi="宋体"/>
          <w:color w:val="000000"/>
          <w:sz w:val="24"/>
          <w:u w:val="single"/>
          <w:lang w:val="en-US" w:eastAsia="zh-CN"/>
        </w:rPr>
        <w:t>04</w:t>
      </w:r>
      <w:r>
        <w:rPr>
          <w:rFonts w:hint="eastAsia" w:ascii="宋体" w:hAnsi="宋体"/>
          <w:color w:val="000000"/>
          <w:sz w:val="24"/>
          <w:u w:val="single"/>
        </w:rPr>
        <w:t>日</w:t>
      </w:r>
      <w:r>
        <w:rPr>
          <w:rFonts w:hint="eastAsia" w:ascii="宋体" w:hAnsi="宋体"/>
          <w:color w:val="000000"/>
          <w:sz w:val="24"/>
          <w:u w:val="single"/>
          <w:lang w:eastAsia="zh-CN"/>
        </w:rPr>
        <w:t>，</w:t>
      </w:r>
      <w:r>
        <w:rPr>
          <w:rFonts w:hint="eastAsia" w:ascii="宋体" w:hAnsi="宋体" w:eastAsia="宋体" w:cs="宋体"/>
          <w:color w:val="auto"/>
          <w:kern w:val="2"/>
          <w:sz w:val="24"/>
          <w:szCs w:val="24"/>
          <w:highlight w:val="none"/>
          <w:lang w:val="en-US" w:eastAsia="zh-CN" w:bidi="ar-SA"/>
        </w:rPr>
        <w:t>每天上午08:00至12:00，下午14:00至18:00（北京时间，法定节假日除外 ）。</w:t>
      </w:r>
    </w:p>
    <w:p w14:paraId="196683C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采购文件获取方式：网络获取</w:t>
      </w:r>
    </w:p>
    <w:bookmarkEnd w:id="22"/>
    <w:bookmarkEnd w:id="23"/>
    <w:bookmarkEnd w:id="24"/>
    <w:bookmarkEnd w:id="25"/>
    <w:p w14:paraId="7B900E99">
      <w:pPr>
        <w:pStyle w:val="20"/>
        <w:snapToGrid w:val="0"/>
        <w:spacing w:before="75" w:beforeAutospacing="0" w:after="75" w:afterAutospacing="0" w:line="336" w:lineRule="auto"/>
        <w:ind w:firstLine="480" w:firstLineChars="200"/>
        <w:outlineLvl w:val="9"/>
        <w:rPr>
          <w:rFonts w:hint="eastAsia" w:ascii="宋体" w:hAnsi="宋体"/>
          <w:color w:val="000000"/>
          <w:sz w:val="24"/>
          <w:highlight w:val="yellow"/>
        </w:rPr>
      </w:pPr>
      <w:bookmarkStart w:id="27" w:name="_Toc2386"/>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en-US" w:eastAsia="zh-CN" w:bidi="ar-SA"/>
        </w:rPr>
        <w:t>.地点：</w:t>
      </w:r>
      <w:r>
        <w:rPr>
          <w:rFonts w:hint="eastAsia" w:ascii="宋体" w:hAnsi="宋体"/>
          <w:color w:val="000000"/>
          <w:sz w:val="24"/>
          <w:highlight w:val="none"/>
        </w:rPr>
        <w:t>供应商登录中盈远瞩政府采购云平台（</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"https://www.中盈招标.com/yunnan/" </w:instrText>
      </w:r>
      <w:r>
        <w:rPr>
          <w:rFonts w:hint="eastAsia" w:ascii="宋体" w:hAnsi="宋体"/>
          <w:color w:val="000000"/>
          <w:sz w:val="24"/>
          <w:highlight w:val="none"/>
        </w:rPr>
        <w:fldChar w:fldCharType="separate"/>
      </w:r>
      <w:r>
        <w:rPr>
          <w:rFonts w:hint="eastAsia" w:ascii="宋体" w:hAnsi="宋体"/>
          <w:color w:val="000000"/>
          <w:sz w:val="24"/>
          <w:highlight w:val="none"/>
        </w:rPr>
        <w:t>https://www.中盈招标.com/yunnan/</w:t>
      </w:r>
      <w:r>
        <w:rPr>
          <w:rFonts w:hint="eastAsia" w:ascii="宋体" w:hAnsi="宋体"/>
          <w:color w:val="000000"/>
          <w:sz w:val="24"/>
          <w:highlight w:val="none"/>
        </w:rPr>
        <w:fldChar w:fldCharType="end"/>
      </w:r>
      <w:r>
        <w:rPr>
          <w:rFonts w:hint="eastAsia" w:ascii="宋体" w:hAnsi="宋体"/>
          <w:color w:val="000000"/>
          <w:sz w:val="24"/>
          <w:highlight w:val="none"/>
        </w:rPr>
        <w:t>）；以下简称“交易平台”进行免费注册。完成注册后，便可获取</w:t>
      </w:r>
      <w:r>
        <w:rPr>
          <w:rFonts w:hint="eastAsia" w:ascii="宋体" w:hAnsi="宋体"/>
          <w:color w:val="000000"/>
          <w:sz w:val="24"/>
          <w:highlight w:val="none"/>
          <w:lang w:eastAsia="zh-CN"/>
        </w:rPr>
        <w:t>询比</w:t>
      </w:r>
      <w:r>
        <w:rPr>
          <w:rFonts w:hint="eastAsia" w:ascii="宋体" w:hAnsi="宋体"/>
          <w:color w:val="000000"/>
          <w:sz w:val="24"/>
          <w:highlight w:val="none"/>
        </w:rPr>
        <w:t>文件。（此为获取</w:t>
      </w:r>
      <w:r>
        <w:rPr>
          <w:rFonts w:hint="eastAsia" w:ascii="宋体" w:hAnsi="宋体"/>
          <w:color w:val="000000"/>
          <w:sz w:val="24"/>
          <w:highlight w:val="none"/>
          <w:lang w:val="en-US" w:eastAsia="zh-CN"/>
        </w:rPr>
        <w:t>询比</w:t>
      </w:r>
      <w:r>
        <w:rPr>
          <w:rFonts w:hint="eastAsia" w:ascii="宋体" w:hAnsi="宋体"/>
          <w:color w:val="000000"/>
          <w:sz w:val="24"/>
          <w:highlight w:val="none"/>
        </w:rPr>
        <w:t>件的唯一途径）。采购</w:t>
      </w:r>
      <w:r>
        <w:rPr>
          <w:rFonts w:hint="eastAsia" w:ascii="宋体" w:hAnsi="宋体"/>
          <w:color w:val="000000"/>
          <w:sz w:val="24"/>
          <w:highlight w:val="none"/>
          <w:lang w:val="en-US" w:eastAsia="zh-CN"/>
        </w:rPr>
        <w:t>人</w:t>
      </w:r>
      <w:r>
        <w:rPr>
          <w:rFonts w:hint="eastAsia" w:ascii="宋体" w:hAnsi="宋体"/>
          <w:color w:val="000000"/>
          <w:sz w:val="24"/>
          <w:highlight w:val="none"/>
        </w:rPr>
        <w:t>将拒绝接受非报名供应商的响应文件。</w:t>
      </w:r>
    </w:p>
    <w:p w14:paraId="197EB6B0">
      <w:pPr>
        <w:pStyle w:val="20"/>
        <w:snapToGrid w:val="0"/>
        <w:spacing w:before="75" w:beforeAutospacing="0" w:after="75" w:afterAutospacing="0" w:line="336" w:lineRule="auto"/>
        <w:jc w:val="both"/>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w:t>
      </w:r>
      <w:r>
        <w:rPr>
          <w:rFonts w:hint="eastAsia" w:ascii="宋体" w:hAnsi="宋体" w:eastAsia="宋体" w:cs="宋体"/>
          <w:b/>
          <w:bCs/>
          <w:color w:val="auto"/>
          <w:highlight w:val="none"/>
          <w:lang w:eastAsia="zh-CN"/>
        </w:rPr>
        <w:t>递</w:t>
      </w:r>
      <w:r>
        <w:rPr>
          <w:rFonts w:hint="eastAsia" w:ascii="宋体" w:hAnsi="宋体" w:eastAsia="宋体" w:cs="宋体"/>
          <w:b/>
          <w:bCs/>
          <w:color w:val="auto"/>
          <w:highlight w:val="none"/>
        </w:rPr>
        <w:t>交</w:t>
      </w:r>
      <w:bookmarkEnd w:id="26"/>
      <w:bookmarkEnd w:id="27"/>
    </w:p>
    <w:p w14:paraId="700632A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1.截止时间：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12</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rPr>
        <w:t>（北京时间）</w:t>
      </w:r>
    </w:p>
    <w:p w14:paraId="1CFE13F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2.递交方式：</w:t>
      </w:r>
      <w:r>
        <w:rPr>
          <w:rFonts w:hint="eastAsia" w:ascii="宋体" w:hAnsi="宋体" w:cs="宋体"/>
          <w:color w:val="auto"/>
          <w:sz w:val="24"/>
          <w:highlight w:val="none"/>
          <w:lang w:val="en-US" w:eastAsia="zh-CN"/>
        </w:rPr>
        <w:t>邮寄方式或</w:t>
      </w:r>
      <w:r>
        <w:rPr>
          <w:rFonts w:hint="eastAsia" w:ascii="宋体" w:hAnsi="宋体" w:cs="宋体"/>
          <w:color w:val="auto"/>
          <w:sz w:val="24"/>
          <w:highlight w:val="none"/>
        </w:rPr>
        <w:t>现场递交纸质响应文件1正及U盘1份。</w:t>
      </w:r>
    </w:p>
    <w:p w14:paraId="0F69EDF4">
      <w:pPr>
        <w:pStyle w:val="20"/>
        <w:keepNext w:val="0"/>
        <w:keepLines w:val="0"/>
        <w:pageBreakBefore w:val="0"/>
        <w:kinsoku/>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hint="eastAsia" w:ascii="宋体" w:hAnsi="宋体" w:cs="宋体"/>
          <w:color w:val="auto"/>
          <w:sz w:val="24"/>
          <w:highlight w:val="none"/>
          <w:lang w:val="en-US" w:eastAsia="zh-CN"/>
        </w:rPr>
      </w:pPr>
      <w:bookmarkStart w:id="28" w:name="_Toc2919"/>
      <w:r>
        <w:rPr>
          <w:rFonts w:hint="eastAsia" w:ascii="宋体" w:hAnsi="宋体" w:cs="宋体"/>
          <w:color w:val="auto"/>
          <w:sz w:val="24"/>
          <w:highlight w:val="none"/>
        </w:rPr>
        <w:t>3.地点：</w:t>
      </w:r>
      <w:bookmarkEnd w:id="28"/>
      <w:bookmarkStart w:id="29" w:name="_Toc14236"/>
      <w:r>
        <w:rPr>
          <w:rFonts w:hint="eastAsia" w:ascii="宋体" w:hAnsi="宋体" w:cs="宋体"/>
          <w:color w:val="auto"/>
          <w:sz w:val="24"/>
          <w:highlight w:val="none"/>
          <w:lang w:eastAsia="zh-CN"/>
        </w:rPr>
        <w:t>云南省个旧市金湖东路229号红河州第三人民医院6号楼</w:t>
      </w:r>
      <w:r>
        <w:rPr>
          <w:rFonts w:hint="eastAsia" w:ascii="宋体" w:hAnsi="宋体" w:cs="宋体"/>
          <w:color w:val="auto"/>
          <w:sz w:val="24"/>
          <w:highlight w:val="none"/>
          <w:lang w:val="en-US" w:eastAsia="zh-CN"/>
        </w:rPr>
        <w:t>3楼3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p>
    <w:p w14:paraId="63E745C1">
      <w:pPr>
        <w:pStyle w:val="20"/>
        <w:keepNext w:val="0"/>
        <w:keepLines w:val="0"/>
        <w:pageBreakBefore w:val="0"/>
        <w:kinsoku/>
        <w:overflowPunct/>
        <w:topLinePunct w:val="0"/>
        <w:autoSpaceDE/>
        <w:autoSpaceDN/>
        <w:bidi w:val="0"/>
        <w:adjustRightInd/>
        <w:snapToGrid w:val="0"/>
        <w:spacing w:before="75" w:beforeAutospacing="0" w:after="75" w:afterAutospacing="0" w:line="360" w:lineRule="auto"/>
        <w:textAlignment w:val="auto"/>
        <w:outlineLvl w:val="1"/>
        <w:rPr>
          <w:rFonts w:hint="eastAsia"/>
          <w:b/>
          <w:bCs/>
          <w:color w:val="auto"/>
          <w:highlight w:val="none"/>
        </w:rPr>
      </w:pPr>
      <w:bookmarkStart w:id="30" w:name="_Toc248"/>
      <w:r>
        <w:rPr>
          <w:rFonts w:hint="eastAsia"/>
          <w:b/>
          <w:bCs/>
          <w:color w:val="auto"/>
          <w:highlight w:val="none"/>
        </w:rPr>
        <w:t>五、响应文件开启</w:t>
      </w:r>
      <w:bookmarkEnd w:id="29"/>
      <w:bookmarkEnd w:id="30"/>
    </w:p>
    <w:p w14:paraId="04D573D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开启时间：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12</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rPr>
        <w:t xml:space="preserve">（北京时间） </w:t>
      </w:r>
    </w:p>
    <w:p w14:paraId="23EA1B5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w:t>
      </w:r>
      <w:bookmarkStart w:id="31" w:name="OLE_LINK8"/>
      <w:r>
        <w:rPr>
          <w:rFonts w:hint="eastAsia" w:ascii="宋体" w:hAnsi="宋体" w:cs="宋体"/>
          <w:color w:val="000000"/>
          <w:sz w:val="24"/>
          <w:highlight w:val="none"/>
        </w:rPr>
        <w:t>云南省个旧市金湖东路229号红河州第三人民医院6号楼4-</w:t>
      </w:r>
      <w:r>
        <w:rPr>
          <w:rFonts w:hint="eastAsia" w:ascii="宋体" w:hAnsi="宋体" w:cs="宋体"/>
          <w:color w:val="000000"/>
          <w:sz w:val="24"/>
          <w:highlight w:val="none"/>
          <w:lang w:val="en-US" w:eastAsia="zh-CN"/>
        </w:rPr>
        <w:t>4</w:t>
      </w:r>
      <w:bookmarkEnd w:id="31"/>
      <w:r>
        <w:rPr>
          <w:rFonts w:hint="eastAsia" w:ascii="宋体" w:hAnsi="宋体" w:cs="宋体"/>
          <w:color w:val="000000"/>
          <w:sz w:val="24"/>
          <w:highlight w:val="none"/>
          <w:lang w:eastAsia="zh-CN"/>
        </w:rPr>
        <w:t>。</w:t>
      </w:r>
    </w:p>
    <w:p w14:paraId="64F620C1">
      <w:pPr>
        <w:pStyle w:val="20"/>
        <w:keepNext w:val="0"/>
        <w:keepLines w:val="0"/>
        <w:widowControl/>
        <w:suppressLineNumbers w:val="0"/>
        <w:spacing w:before="0" w:beforeAutospacing="0" w:after="0" w:afterAutospacing="0" w:line="360" w:lineRule="auto"/>
        <w:ind w:right="0"/>
        <w:jc w:val="left"/>
        <w:outlineLvl w:val="1"/>
        <w:rPr>
          <w:rFonts w:hint="eastAsia" w:ascii="宋体" w:hAnsi="宋体" w:eastAsia="宋体" w:cs="宋体"/>
          <w:b/>
          <w:color w:val="000000"/>
          <w:sz w:val="44"/>
          <w:szCs w:val="44"/>
        </w:rPr>
      </w:pPr>
      <w:r>
        <w:rPr>
          <w:rStyle w:val="28"/>
          <w:rFonts w:hint="eastAsia" w:eastAsia="宋体" w:cs="宋体"/>
          <w:sz w:val="24"/>
          <w:lang w:val="en-US" w:eastAsia="zh-CN" w:bidi="ar"/>
        </w:rPr>
        <w:t>六</w:t>
      </w:r>
      <w:r>
        <w:rPr>
          <w:rStyle w:val="28"/>
          <w:rFonts w:hint="eastAsia" w:ascii="宋体" w:hAnsi="宋体" w:eastAsia="宋体" w:cs="宋体"/>
          <w:sz w:val="24"/>
          <w:lang w:val="en-US" w:eastAsia="zh-CN" w:bidi="ar"/>
        </w:rPr>
        <w:t>、</w:t>
      </w:r>
      <w:r>
        <w:rPr>
          <w:rStyle w:val="28"/>
          <w:rFonts w:hint="eastAsia" w:ascii="宋体" w:hAnsi="宋体" w:eastAsia="宋体" w:cs="宋体"/>
          <w:sz w:val="24"/>
          <w:lang w:bidi="ar"/>
        </w:rPr>
        <w:t>发布公告的媒介</w:t>
      </w:r>
      <w:r>
        <w:rPr>
          <w:rStyle w:val="29"/>
          <w:rFonts w:hint="eastAsia" w:ascii="宋体" w:hAnsi="宋体" w:eastAsia="宋体" w:cs="宋体"/>
          <w:sz w:val="24"/>
          <w:lang w:bidi="ar"/>
        </w:rPr>
        <w:br w:type="textWrapping"/>
      </w:r>
      <w:r>
        <w:rPr>
          <w:rStyle w:val="29"/>
          <w:rFonts w:hint="eastAsia" w:ascii="宋体" w:hAnsi="宋体" w:eastAsia="宋体" w:cs="宋体"/>
          <w:sz w:val="24"/>
          <w:lang w:bidi="ar"/>
        </w:rPr>
        <w:t xml:space="preserve">   </w:t>
      </w:r>
      <w:r>
        <w:rPr>
          <w:rStyle w:val="29"/>
          <w:rFonts w:hint="eastAsia" w:eastAsia="宋体" w:cs="宋体"/>
          <w:sz w:val="24"/>
          <w:lang w:val="en-US" w:eastAsia="zh-CN" w:bidi="ar"/>
        </w:rPr>
        <w:t xml:space="preserve"> </w:t>
      </w:r>
      <w:r>
        <w:rPr>
          <w:rStyle w:val="29"/>
          <w:rFonts w:hint="eastAsia" w:ascii="宋体" w:hAnsi="宋体" w:eastAsia="宋体" w:cs="宋体"/>
          <w:sz w:val="24"/>
          <w:lang w:val="en-US" w:eastAsia="zh-CN" w:bidi="ar"/>
        </w:rPr>
        <w:t>本次询比公告在</w:t>
      </w:r>
      <w:bookmarkStart w:id="32" w:name="OLE_LINK16"/>
      <w:r>
        <w:rPr>
          <w:rStyle w:val="29"/>
          <w:rFonts w:hint="eastAsia" w:ascii="宋体" w:hAnsi="宋体" w:eastAsia="宋体" w:cs="宋体"/>
          <w:sz w:val="24"/>
          <w:lang w:val="en-US" w:eastAsia="zh-CN" w:bidi="ar"/>
        </w:rPr>
        <w:t>“</w:t>
      </w:r>
      <w:bookmarkStart w:id="33" w:name="OLE_LINK9"/>
      <w:r>
        <w:rPr>
          <w:rStyle w:val="29"/>
          <w:rFonts w:hint="eastAsia" w:ascii="宋体" w:hAnsi="宋体" w:eastAsia="宋体" w:cs="宋体"/>
          <w:sz w:val="24"/>
          <w:lang w:val="en-US" w:eastAsia="zh-CN" w:bidi="ar"/>
        </w:rPr>
        <w:t>红河哈尼族彝族自治州第三人民医院官网</w:t>
      </w:r>
      <w:bookmarkEnd w:id="33"/>
      <w:r>
        <w:rPr>
          <w:rStyle w:val="29"/>
          <w:rFonts w:hint="eastAsia" w:ascii="宋体" w:hAnsi="宋体" w:eastAsia="宋体" w:cs="宋体"/>
          <w:sz w:val="24"/>
          <w:lang w:val="en-US" w:eastAsia="zh-CN" w:bidi="ar"/>
        </w:rPr>
        <w:t>”</w:t>
      </w:r>
      <w:bookmarkEnd w:id="32"/>
      <w:r>
        <w:rPr>
          <w:rStyle w:val="29"/>
          <w:rFonts w:hint="eastAsia" w:ascii="宋体" w:hAnsi="宋体" w:eastAsia="宋体" w:cs="宋体"/>
          <w:sz w:val="24"/>
          <w:lang w:val="en-US" w:eastAsia="zh-CN" w:bidi="ar"/>
        </w:rPr>
        <w:t>及“中国招标投标公共服务平台”上发布，我单位对其它网站或媒体转载的公告及公告内容不承担任何责任。</w:t>
      </w:r>
    </w:p>
    <w:p w14:paraId="0A1F5B74">
      <w:pPr>
        <w:pStyle w:val="20"/>
        <w:numPr>
          <w:ilvl w:val="0"/>
          <w:numId w:val="0"/>
        </w:numPr>
        <w:snapToGrid w:val="0"/>
        <w:spacing w:before="75" w:beforeAutospacing="0" w:after="75" w:afterAutospacing="0" w:line="336" w:lineRule="auto"/>
        <w:outlineLvl w:val="1"/>
        <w:rPr>
          <w:rFonts w:hint="eastAsia" w:ascii="宋体" w:hAnsi="宋体" w:eastAsia="宋体" w:cs="宋体"/>
          <w:b/>
          <w:bCs/>
          <w:color w:val="auto"/>
          <w:highlight w:val="none"/>
        </w:rPr>
      </w:pPr>
      <w:bookmarkStart w:id="34" w:name="_Toc14837"/>
      <w:r>
        <w:rPr>
          <w:rFonts w:hint="eastAsia" w:eastAsia="宋体" w:cs="宋体"/>
          <w:b/>
          <w:bCs/>
          <w:color w:val="auto"/>
          <w:highlight w:val="none"/>
          <w:lang w:eastAsia="zh-CN"/>
        </w:rPr>
        <w:t>七、</w:t>
      </w:r>
      <w:r>
        <w:rPr>
          <w:rFonts w:hint="eastAsia" w:ascii="宋体" w:hAnsi="宋体" w:eastAsia="宋体" w:cs="宋体"/>
          <w:b/>
          <w:bCs/>
          <w:color w:val="auto"/>
          <w:highlight w:val="none"/>
        </w:rPr>
        <w:t>对本次采购提出询问</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请按以下方式联系</w:t>
      </w:r>
      <w:bookmarkEnd w:id="34"/>
    </w:p>
    <w:p w14:paraId="1C0D5640">
      <w:pPr>
        <w:widowControl/>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1.采购人信息</w:t>
      </w:r>
    </w:p>
    <w:p w14:paraId="0CC97F11">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名称：</w:t>
      </w:r>
      <w:bookmarkStart w:id="35" w:name="OLE_LINK18"/>
      <w:r>
        <w:rPr>
          <w:rFonts w:hint="eastAsia" w:ascii="宋体" w:hAnsi="宋体" w:cs="宋体"/>
          <w:color w:val="auto"/>
          <w:sz w:val="24"/>
          <w:highlight w:val="none"/>
          <w:u w:val="none"/>
        </w:rPr>
        <w:t>红河哈尼族彝族自治州第三人民医院</w:t>
      </w:r>
      <w:bookmarkEnd w:id="35"/>
    </w:p>
    <w:p w14:paraId="6278B785">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地址：个旧市金湖东路229号</w:t>
      </w:r>
    </w:p>
    <w:p w14:paraId="5D495191">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联系方式：</w:t>
      </w:r>
      <w:bookmarkStart w:id="36" w:name="_Toc28359086"/>
      <w:bookmarkStart w:id="37" w:name="_Toc28359009"/>
      <w:bookmarkStart w:id="38" w:name="OLE_LINK5"/>
      <w:r>
        <w:rPr>
          <w:rFonts w:hint="eastAsia" w:ascii="宋体" w:hAnsi="宋体" w:cs="宋体"/>
          <w:color w:val="auto"/>
          <w:sz w:val="24"/>
          <w:highlight w:val="none"/>
          <w:u w:val="none"/>
          <w:lang w:val="en-US" w:eastAsia="zh-CN"/>
        </w:rPr>
        <w:t>李</w:t>
      </w:r>
      <w:r>
        <w:rPr>
          <w:rFonts w:hint="eastAsia" w:ascii="宋体" w:hAnsi="宋体" w:cs="宋体"/>
          <w:color w:val="auto"/>
          <w:sz w:val="24"/>
          <w:highlight w:val="none"/>
          <w:u w:val="none"/>
        </w:rPr>
        <w:t>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bookmarkEnd w:id="6"/>
      <w:bookmarkEnd w:id="7"/>
      <w:bookmarkEnd w:id="8"/>
      <w:bookmarkEnd w:id="36"/>
      <w:bookmarkEnd w:id="37"/>
      <w:bookmarkEnd w:id="38"/>
    </w:p>
    <w:p w14:paraId="1BC6F98C">
      <w:pPr>
        <w:rPr>
          <w:rFonts w:hint="eastAsia" w:ascii="宋体" w:hAnsi="宋体" w:cs="宋体"/>
          <w:color w:val="auto"/>
          <w:sz w:val="24"/>
          <w:highlight w:val="none"/>
          <w:u w:val="none"/>
        </w:rPr>
      </w:pPr>
      <w:r>
        <w:rPr>
          <w:rFonts w:hint="eastAsia" w:ascii="宋体" w:hAnsi="宋体" w:cs="宋体"/>
          <w:color w:val="auto"/>
          <w:sz w:val="24"/>
          <w:highlight w:val="none"/>
          <w:u w:val="none"/>
        </w:rPr>
        <w:br w:type="page"/>
      </w:r>
    </w:p>
    <w:p w14:paraId="4549AF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44"/>
          <w:sz w:val="36"/>
          <w:szCs w:val="24"/>
          <w:highlight w:val="none"/>
          <w:lang w:val="en-US" w:eastAsia="zh-CN" w:bidi="ar-SA"/>
        </w:rPr>
      </w:pPr>
      <w:bookmarkStart w:id="39" w:name="_Toc16156"/>
      <w:bookmarkStart w:id="40" w:name="_Toc19166"/>
      <w:bookmarkStart w:id="41" w:name="_Toc26892"/>
      <w:bookmarkStart w:id="42" w:name="OLE_LINK1"/>
      <w:r>
        <w:rPr>
          <w:rFonts w:hint="eastAsia" w:ascii="宋体" w:hAnsi="宋体" w:eastAsia="宋体" w:cs="宋体"/>
          <w:b/>
          <w:bCs/>
          <w:color w:val="auto"/>
          <w:kern w:val="44"/>
          <w:sz w:val="36"/>
          <w:szCs w:val="24"/>
          <w:highlight w:val="none"/>
          <w:lang w:val="en-US" w:eastAsia="zh-CN" w:bidi="ar-SA"/>
        </w:rPr>
        <w:t>第二章 供应商须知</w:t>
      </w:r>
      <w:bookmarkEnd w:id="39"/>
      <w:bookmarkEnd w:id="40"/>
      <w:bookmarkEnd w:id="41"/>
    </w:p>
    <w:bookmarkEnd w:id="42"/>
    <w:p w14:paraId="66D1B29E">
      <w:pPr>
        <w:rPr>
          <w:rFonts w:hint="eastAsia"/>
          <w:color w:val="auto"/>
          <w:highlight w:val="none"/>
        </w:rPr>
      </w:pPr>
    </w:p>
    <w:p w14:paraId="475B770B">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前</w:t>
      </w:r>
      <w:r>
        <w:rPr>
          <w:rFonts w:hint="eastAsia" w:ascii="宋体" w:hAnsi="宋体" w:cs="宋体"/>
          <w:b/>
          <w:bCs/>
          <w:color w:val="auto"/>
          <w:sz w:val="24"/>
          <w:highlight w:val="none"/>
        </w:rPr>
        <w:t>附表</w:t>
      </w:r>
    </w:p>
    <w:p w14:paraId="08AF555A">
      <w:pPr>
        <w:pStyle w:val="12"/>
        <w:rPr>
          <w:rFonts w:hint="eastAsia"/>
        </w:rPr>
      </w:pPr>
    </w:p>
    <w:p w14:paraId="063A5BFE">
      <w:pPr>
        <w:pStyle w:val="3"/>
        <w:keepNext w:val="0"/>
        <w:keepLines w:val="0"/>
        <w:adjustRightInd w:val="0"/>
        <w:snapToGrid w:val="0"/>
        <w:spacing w:before="156" w:beforeLines="50" w:after="156" w:afterLines="50" w:line="336" w:lineRule="auto"/>
        <w:jc w:val="left"/>
        <w:textAlignment w:val="baseline"/>
        <w:rPr>
          <w:rFonts w:hint="eastAsia" w:ascii="宋体" w:hAnsi="宋体" w:cs="宋体" w:eastAsiaTheme="minorEastAsia"/>
          <w:b w:val="0"/>
          <w:bCs w:val="0"/>
          <w:kern w:val="2"/>
          <w:sz w:val="24"/>
          <w:szCs w:val="24"/>
          <w:lang w:val="en-US" w:eastAsia="zh-CN" w:bidi="ar-SA"/>
        </w:rPr>
      </w:pPr>
      <w:bookmarkStart w:id="43" w:name="_Toc26342"/>
      <w:bookmarkStart w:id="44" w:name="_Toc28258"/>
      <w:bookmarkStart w:id="45" w:name="_Toc27001"/>
      <w:bookmarkStart w:id="46" w:name="OLE_LINK7"/>
      <w:bookmarkStart w:id="47" w:name="_Toc451264409"/>
      <w:bookmarkStart w:id="48" w:name="_Toc448214650"/>
      <w:bookmarkStart w:id="49" w:name="_Toc301187578"/>
      <w:bookmarkStart w:id="50" w:name="_Toc303756365"/>
      <w:bookmarkStart w:id="51" w:name="_Toc359934560"/>
      <w:r>
        <w:rPr>
          <w:rFonts w:hint="eastAsia" w:ascii="宋体" w:hAnsi="宋体" w:eastAsia="宋体" w:cs="宋体"/>
          <w:color w:val="auto"/>
          <w:sz w:val="24"/>
          <w:szCs w:val="24"/>
          <w:highlight w:val="none"/>
        </w:rPr>
        <w:t>1.总则</w:t>
      </w:r>
      <w:bookmarkEnd w:id="43"/>
      <w:bookmarkEnd w:id="44"/>
      <w:bookmarkEnd w:id="45"/>
    </w:p>
    <w:bookmarkEnd w:id="46"/>
    <w:tbl>
      <w:tblPr>
        <w:tblStyle w:val="22"/>
        <w:tblpPr w:leftFromText="180" w:rightFromText="180" w:vertAnchor="text" w:tblpXSpec="center" w:tblpY="1"/>
        <w:tblOverlap w:val="never"/>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726"/>
        <w:gridCol w:w="7504"/>
      </w:tblGrid>
      <w:tr w14:paraId="7C42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939" w:type="dxa"/>
            <w:noWrap w:val="0"/>
            <w:vAlign w:val="center"/>
          </w:tcPr>
          <w:p w14:paraId="5C1FD829">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条款号</w:t>
            </w:r>
          </w:p>
        </w:tc>
        <w:tc>
          <w:tcPr>
            <w:tcW w:w="1726" w:type="dxa"/>
            <w:noWrap w:val="0"/>
            <w:vAlign w:val="center"/>
          </w:tcPr>
          <w:p w14:paraId="3D04A9E9">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条款名称</w:t>
            </w:r>
          </w:p>
        </w:tc>
        <w:tc>
          <w:tcPr>
            <w:tcW w:w="7504" w:type="dxa"/>
            <w:noWrap w:val="0"/>
            <w:vAlign w:val="center"/>
          </w:tcPr>
          <w:p w14:paraId="248BA9BC">
            <w:pPr>
              <w:snapToGrid w:val="0"/>
              <w:spacing w:line="312" w:lineRule="auto"/>
              <w:ind w:left="-108"/>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编列内容</w:t>
            </w:r>
          </w:p>
        </w:tc>
      </w:tr>
      <w:tr w14:paraId="56A7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9" w:type="dxa"/>
            <w:noWrap w:val="0"/>
            <w:vAlign w:val="center"/>
          </w:tcPr>
          <w:p w14:paraId="795104FC">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w:t>
            </w:r>
          </w:p>
        </w:tc>
        <w:tc>
          <w:tcPr>
            <w:tcW w:w="1726" w:type="dxa"/>
            <w:noWrap w:val="0"/>
            <w:vAlign w:val="center"/>
          </w:tcPr>
          <w:p w14:paraId="6EF10761">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采购人</w:t>
            </w:r>
          </w:p>
        </w:tc>
        <w:tc>
          <w:tcPr>
            <w:tcW w:w="7504" w:type="dxa"/>
            <w:noWrap w:val="0"/>
            <w:vAlign w:val="center"/>
          </w:tcPr>
          <w:p w14:paraId="565CE4F9">
            <w:pPr>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红河哈尼族彝族自治州第三人民医院</w:t>
            </w:r>
          </w:p>
        </w:tc>
      </w:tr>
      <w:tr w14:paraId="401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9" w:type="dxa"/>
            <w:noWrap w:val="0"/>
            <w:vAlign w:val="center"/>
          </w:tcPr>
          <w:p w14:paraId="229A774C">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2</w:t>
            </w:r>
          </w:p>
        </w:tc>
        <w:tc>
          <w:tcPr>
            <w:tcW w:w="1726" w:type="dxa"/>
            <w:noWrap w:val="0"/>
            <w:vAlign w:val="center"/>
          </w:tcPr>
          <w:p w14:paraId="0BDC77D4">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资金来源</w:t>
            </w:r>
          </w:p>
        </w:tc>
        <w:tc>
          <w:tcPr>
            <w:tcW w:w="7504" w:type="dxa"/>
            <w:noWrap w:val="0"/>
            <w:vAlign w:val="center"/>
          </w:tcPr>
          <w:p w14:paraId="61C7EC17">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自筹资金</w:t>
            </w:r>
          </w:p>
        </w:tc>
      </w:tr>
      <w:tr w14:paraId="7FBA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39" w:type="dxa"/>
            <w:noWrap w:val="0"/>
            <w:vAlign w:val="center"/>
          </w:tcPr>
          <w:p w14:paraId="694B405B">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3</w:t>
            </w:r>
          </w:p>
        </w:tc>
        <w:tc>
          <w:tcPr>
            <w:tcW w:w="1726" w:type="dxa"/>
            <w:noWrap w:val="0"/>
            <w:vAlign w:val="center"/>
          </w:tcPr>
          <w:p w14:paraId="20A731A7">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合格的供应商</w:t>
            </w:r>
          </w:p>
        </w:tc>
        <w:tc>
          <w:tcPr>
            <w:tcW w:w="7504" w:type="dxa"/>
            <w:noWrap w:val="0"/>
            <w:vAlign w:val="center"/>
          </w:tcPr>
          <w:p w14:paraId="4492F075">
            <w:pPr>
              <w:numPr>
                <w:ilvl w:val="0"/>
                <w:numId w:val="0"/>
              </w:numPr>
              <w:snapToGrid w:val="0"/>
              <w:spacing w:line="312" w:lineRule="auto"/>
              <w:outlineLvl w:val="9"/>
              <w:rPr>
                <w:rFonts w:hint="eastAsia" w:ascii="宋体" w:hAnsi="宋体" w:cs="宋体" w:eastAsiaTheme="minorEastAsia"/>
                <w:b w:val="0"/>
                <w:bCs w:val="0"/>
                <w:kern w:val="2"/>
                <w:sz w:val="24"/>
                <w:szCs w:val="24"/>
                <w:lang w:val="zh-CN" w:eastAsia="zh-CN" w:bidi="ar-SA"/>
              </w:rPr>
            </w:pPr>
            <w:r>
              <w:rPr>
                <w:rFonts w:hint="eastAsia" w:ascii="宋体" w:hAnsi="宋体" w:cs="宋体" w:eastAsiaTheme="minorEastAsia"/>
                <w:b w:val="0"/>
                <w:bCs w:val="0"/>
                <w:kern w:val="2"/>
                <w:sz w:val="24"/>
                <w:szCs w:val="24"/>
                <w:lang w:val="en-US" w:eastAsia="zh-CN" w:bidi="ar-SA"/>
              </w:rPr>
              <w:t>1.</w:t>
            </w:r>
            <w:r>
              <w:rPr>
                <w:rFonts w:hint="eastAsia" w:ascii="宋体" w:hAnsi="宋体" w:cs="宋体" w:eastAsiaTheme="minorEastAsia"/>
                <w:b w:val="0"/>
                <w:bCs w:val="0"/>
                <w:kern w:val="2"/>
                <w:sz w:val="24"/>
                <w:szCs w:val="24"/>
                <w:lang w:val="zh-CN" w:eastAsia="zh-CN" w:bidi="ar-SA"/>
              </w:rPr>
              <w:t>本次询比邀请在</w:t>
            </w:r>
            <w:r>
              <w:rPr>
                <w:rFonts w:hint="eastAsia" w:ascii="宋体" w:hAnsi="宋体" w:cs="宋体" w:eastAsiaTheme="minorEastAsia"/>
                <w:b w:val="0"/>
                <w:bCs w:val="0"/>
                <w:kern w:val="2"/>
                <w:sz w:val="24"/>
                <w:szCs w:val="24"/>
                <w:highlight w:val="none"/>
                <w:lang w:val="zh-CN" w:eastAsia="zh-CN" w:bidi="ar-SA"/>
              </w:rPr>
              <w:t>“</w:t>
            </w:r>
            <w:r>
              <w:rPr>
                <w:rFonts w:hint="eastAsia" w:ascii="宋体" w:hAnsi="宋体" w:cs="宋体" w:eastAsiaTheme="minorEastAsia"/>
                <w:b w:val="0"/>
                <w:bCs w:val="0"/>
                <w:kern w:val="2"/>
                <w:sz w:val="24"/>
                <w:szCs w:val="24"/>
                <w:highlight w:val="none"/>
                <w:lang w:val="en-US" w:eastAsia="zh-CN" w:bidi="ar-SA"/>
              </w:rPr>
              <w:t>中盈远瞩政府采购云平台（</w:t>
            </w:r>
            <w:r>
              <w:rPr>
                <w:rFonts w:hint="eastAsia" w:ascii="宋体" w:hAnsi="宋体" w:cs="宋体" w:eastAsiaTheme="minorEastAsia"/>
                <w:b w:val="0"/>
                <w:bCs w:val="0"/>
                <w:kern w:val="2"/>
                <w:sz w:val="24"/>
                <w:szCs w:val="24"/>
                <w:highlight w:val="none"/>
                <w:lang w:val="en-US" w:eastAsia="zh-CN" w:bidi="ar-SA"/>
              </w:rPr>
              <w:fldChar w:fldCharType="begin"/>
            </w:r>
            <w:r>
              <w:rPr>
                <w:rFonts w:hint="eastAsia" w:ascii="宋体" w:hAnsi="宋体" w:cs="宋体" w:eastAsiaTheme="minorEastAsia"/>
                <w:b w:val="0"/>
                <w:bCs w:val="0"/>
                <w:kern w:val="2"/>
                <w:sz w:val="24"/>
                <w:szCs w:val="24"/>
                <w:highlight w:val="none"/>
                <w:lang w:val="en-US" w:eastAsia="zh-CN" w:bidi="ar-SA"/>
              </w:rPr>
              <w:instrText xml:space="preserve"> HYPERLINK "https://www.中盈招标.com/yunnan/" </w:instrText>
            </w:r>
            <w:r>
              <w:rPr>
                <w:rFonts w:hint="eastAsia" w:ascii="宋体" w:hAnsi="宋体" w:cs="宋体" w:eastAsiaTheme="minorEastAsia"/>
                <w:b w:val="0"/>
                <w:bCs w:val="0"/>
                <w:kern w:val="2"/>
                <w:sz w:val="24"/>
                <w:szCs w:val="24"/>
                <w:highlight w:val="none"/>
                <w:lang w:val="en-US" w:eastAsia="zh-CN" w:bidi="ar-SA"/>
              </w:rPr>
              <w:fldChar w:fldCharType="separate"/>
            </w:r>
            <w:r>
              <w:rPr>
                <w:rFonts w:hint="eastAsia" w:ascii="宋体" w:hAnsi="宋体" w:cs="宋体" w:eastAsiaTheme="minorEastAsia"/>
                <w:b w:val="0"/>
                <w:bCs w:val="0"/>
                <w:kern w:val="2"/>
                <w:sz w:val="24"/>
                <w:szCs w:val="24"/>
                <w:highlight w:val="none"/>
                <w:lang w:val="en-US" w:eastAsia="zh-CN" w:bidi="ar-SA"/>
              </w:rPr>
              <w:t>https://www.中盈招标.com/yunnan/</w:t>
            </w:r>
            <w:r>
              <w:rPr>
                <w:rFonts w:hint="eastAsia" w:ascii="宋体" w:hAnsi="宋体" w:cs="宋体" w:eastAsiaTheme="minorEastAsia"/>
                <w:b w:val="0"/>
                <w:bCs w:val="0"/>
                <w:kern w:val="2"/>
                <w:sz w:val="24"/>
                <w:szCs w:val="24"/>
                <w:highlight w:val="none"/>
                <w:lang w:val="en-US" w:eastAsia="zh-CN" w:bidi="ar-SA"/>
              </w:rPr>
              <w:fldChar w:fldCharType="end"/>
            </w:r>
            <w:r>
              <w:rPr>
                <w:rFonts w:hint="eastAsia" w:ascii="宋体" w:hAnsi="宋体" w:cs="宋体" w:eastAsiaTheme="minorEastAsia"/>
                <w:b w:val="0"/>
                <w:bCs w:val="0"/>
                <w:kern w:val="2"/>
                <w:sz w:val="24"/>
                <w:szCs w:val="24"/>
                <w:highlight w:val="none"/>
                <w:lang w:val="en-US" w:eastAsia="zh-CN" w:bidi="ar-SA"/>
              </w:rPr>
              <w:t>）</w:t>
            </w:r>
            <w:r>
              <w:rPr>
                <w:rFonts w:hint="eastAsia" w:ascii="宋体" w:hAnsi="宋体" w:cs="宋体" w:eastAsiaTheme="minorEastAsia"/>
                <w:b w:val="0"/>
                <w:bCs w:val="0"/>
                <w:kern w:val="2"/>
                <w:sz w:val="24"/>
                <w:szCs w:val="24"/>
                <w:highlight w:val="none"/>
                <w:lang w:val="zh-CN" w:eastAsia="zh-CN" w:bidi="ar-SA"/>
              </w:rPr>
              <w:t>”</w:t>
            </w:r>
            <w:r>
              <w:rPr>
                <w:rFonts w:hint="eastAsia" w:ascii="宋体" w:hAnsi="宋体" w:cs="宋体" w:eastAsiaTheme="minorEastAsia"/>
                <w:b w:val="0"/>
                <w:bCs w:val="0"/>
                <w:kern w:val="2"/>
                <w:sz w:val="24"/>
                <w:szCs w:val="24"/>
                <w:lang w:val="zh-CN" w:eastAsia="zh-CN" w:bidi="ar-SA"/>
              </w:rPr>
              <w:t>以公告形式发布，邀请参加询比的供应商。</w:t>
            </w:r>
          </w:p>
          <w:p w14:paraId="1241AD09">
            <w:pPr>
              <w:numPr>
                <w:ilvl w:val="0"/>
                <w:numId w:val="0"/>
              </w:numPr>
              <w:snapToGrid w:val="0"/>
              <w:spacing w:line="312" w:lineRule="auto"/>
              <w:outlineLvl w:val="9"/>
              <w:rPr>
                <w:rFonts w:hint="eastAsia" w:ascii="宋体" w:hAnsi="宋体" w:cs="宋体" w:eastAsiaTheme="minorEastAsia"/>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cs="宋体" w:eastAsiaTheme="minorEastAsia"/>
                <w:b w:val="0"/>
                <w:bCs w:val="0"/>
                <w:kern w:val="2"/>
                <w:sz w:val="24"/>
                <w:szCs w:val="24"/>
                <w:lang w:val="en-US" w:eastAsia="zh-CN" w:bidi="ar-SA"/>
              </w:rPr>
              <w:t>提交响应文件的供应商不足三家的，根据不同的情况，采购人可决定继续或重新组织询比采购，或直接参照谈判采购方式（适用于两家供应商的情形）或直接采购方式（适用于一家供应商的情形）与供应商谈判后确定成交供应商。</w:t>
            </w:r>
          </w:p>
        </w:tc>
      </w:tr>
      <w:tr w14:paraId="613D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39" w:type="dxa"/>
            <w:noWrap w:val="0"/>
            <w:vAlign w:val="center"/>
          </w:tcPr>
          <w:p w14:paraId="322ADDA6">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4</w:t>
            </w:r>
          </w:p>
        </w:tc>
        <w:tc>
          <w:tcPr>
            <w:tcW w:w="1726" w:type="dxa"/>
            <w:noWrap w:val="0"/>
            <w:vAlign w:val="center"/>
          </w:tcPr>
          <w:p w14:paraId="1C41C727">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联合体询比</w:t>
            </w:r>
          </w:p>
        </w:tc>
        <w:tc>
          <w:tcPr>
            <w:tcW w:w="7504" w:type="dxa"/>
            <w:noWrap w:val="0"/>
            <w:vAlign w:val="center"/>
          </w:tcPr>
          <w:p w14:paraId="0612FB5C">
            <w:pPr>
              <w:snapToGrid w:val="0"/>
              <w:spacing w:line="312" w:lineRule="auto"/>
              <w:rPr>
                <w:rFonts w:hint="eastAsia" w:ascii="宋体" w:hAnsi="宋体" w:cs="宋体" w:eastAsiaTheme="minorEastAsia"/>
                <w:b w:val="0"/>
                <w:bCs w:val="0"/>
                <w:kern w:val="2"/>
                <w:sz w:val="24"/>
                <w:szCs w:val="24"/>
                <w:lang w:val="en-US" w:eastAsia="zh-CN" w:bidi="ar-SA"/>
              </w:rPr>
            </w:pPr>
            <w:bookmarkStart w:id="52" w:name="OLE_LINK20"/>
            <w:r>
              <w:rPr>
                <w:rFonts w:hint="eastAsia" w:ascii="宋体" w:hAnsi="宋体" w:cs="宋体" w:eastAsiaTheme="minorEastAsia"/>
                <w:b w:val="0"/>
                <w:bCs w:val="0"/>
                <w:kern w:val="2"/>
                <w:sz w:val="24"/>
                <w:szCs w:val="24"/>
                <w:lang w:val="en-US" w:eastAsia="zh-CN" w:bidi="ar-SA"/>
              </w:rPr>
              <w:fldChar w:fldCharType="begin"/>
            </w:r>
            <w:r>
              <w:rPr>
                <w:rFonts w:hint="eastAsia" w:ascii="宋体" w:hAnsi="宋体" w:cs="宋体" w:eastAsiaTheme="minorEastAsia"/>
                <w:b w:val="0"/>
                <w:bCs w:val="0"/>
                <w:kern w:val="2"/>
                <w:sz w:val="24"/>
                <w:szCs w:val="24"/>
                <w:lang w:val="en-US" w:eastAsia="zh-CN" w:bidi="ar-SA"/>
              </w:rPr>
              <w:instrText xml:space="preserve"> eq \o\ac(□,√)</w:instrText>
            </w:r>
            <w:r>
              <w:rPr>
                <w:rFonts w:hint="eastAsia" w:ascii="宋体" w:hAnsi="宋体" w:cs="宋体" w:eastAsiaTheme="minorEastAsia"/>
                <w:b w:val="0"/>
                <w:bCs w:val="0"/>
                <w:kern w:val="2"/>
                <w:sz w:val="24"/>
                <w:szCs w:val="24"/>
                <w:lang w:val="en-US" w:eastAsia="zh-CN" w:bidi="ar-SA"/>
              </w:rPr>
              <w:fldChar w:fldCharType="end"/>
            </w:r>
            <w:r>
              <w:rPr>
                <w:rFonts w:hint="eastAsia" w:ascii="宋体" w:hAnsi="宋体" w:cs="宋体" w:eastAsiaTheme="minorEastAsia"/>
                <w:b w:val="0"/>
                <w:bCs w:val="0"/>
                <w:kern w:val="2"/>
                <w:sz w:val="24"/>
                <w:szCs w:val="24"/>
                <w:lang w:val="en-US" w:eastAsia="zh-CN" w:bidi="ar-SA"/>
              </w:rPr>
              <w:t>不接受</w:t>
            </w:r>
          </w:p>
          <w:p w14:paraId="7FC73AE1">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□接受</w:t>
            </w:r>
            <w:bookmarkEnd w:id="52"/>
          </w:p>
        </w:tc>
      </w:tr>
      <w:tr w14:paraId="4B4E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noWrap w:val="0"/>
            <w:vAlign w:val="center"/>
          </w:tcPr>
          <w:p w14:paraId="6B5CB929">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5</w:t>
            </w:r>
          </w:p>
        </w:tc>
        <w:tc>
          <w:tcPr>
            <w:tcW w:w="1726" w:type="dxa"/>
            <w:noWrap w:val="0"/>
            <w:vAlign w:val="center"/>
          </w:tcPr>
          <w:p w14:paraId="1EB11790">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分包</w:t>
            </w:r>
          </w:p>
        </w:tc>
        <w:tc>
          <w:tcPr>
            <w:tcW w:w="7504" w:type="dxa"/>
            <w:noWrap w:val="0"/>
            <w:vAlign w:val="center"/>
          </w:tcPr>
          <w:p w14:paraId="5C0A377A">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fldChar w:fldCharType="begin"/>
            </w:r>
            <w:r>
              <w:rPr>
                <w:rFonts w:hint="eastAsia" w:ascii="宋体" w:hAnsi="宋体" w:cs="宋体" w:eastAsiaTheme="minorEastAsia"/>
                <w:b w:val="0"/>
                <w:bCs w:val="0"/>
                <w:kern w:val="2"/>
                <w:sz w:val="24"/>
                <w:szCs w:val="24"/>
                <w:lang w:val="en-US" w:eastAsia="zh-CN" w:bidi="ar-SA"/>
              </w:rPr>
              <w:instrText xml:space="preserve"> eq \o\ac(□,√)</w:instrText>
            </w:r>
            <w:r>
              <w:rPr>
                <w:rFonts w:hint="eastAsia" w:ascii="宋体" w:hAnsi="宋体" w:cs="宋体" w:eastAsiaTheme="minorEastAsia"/>
                <w:b w:val="0"/>
                <w:bCs w:val="0"/>
                <w:kern w:val="2"/>
                <w:sz w:val="24"/>
                <w:szCs w:val="24"/>
                <w:lang w:val="en-US" w:eastAsia="zh-CN" w:bidi="ar-SA"/>
              </w:rPr>
              <w:fldChar w:fldCharType="end"/>
            </w:r>
            <w:r>
              <w:rPr>
                <w:rFonts w:hint="eastAsia" w:ascii="宋体" w:hAnsi="宋体" w:cs="宋体" w:eastAsiaTheme="minorEastAsia"/>
                <w:b w:val="0"/>
                <w:bCs w:val="0"/>
                <w:kern w:val="2"/>
                <w:sz w:val="24"/>
                <w:szCs w:val="24"/>
                <w:lang w:val="en-US" w:eastAsia="zh-CN" w:bidi="ar-SA"/>
              </w:rPr>
              <w:t>1.本项目不允许分包。</w:t>
            </w:r>
          </w:p>
          <w:p w14:paraId="097ECD44">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sym w:font="Wingdings" w:char="00A8"/>
            </w:r>
            <w:r>
              <w:rPr>
                <w:rFonts w:hint="eastAsia" w:ascii="宋体" w:hAnsi="宋体" w:cs="宋体" w:eastAsiaTheme="minorEastAsia"/>
                <w:b w:val="0"/>
                <w:bCs w:val="0"/>
                <w:kern w:val="2"/>
                <w:sz w:val="24"/>
                <w:szCs w:val="24"/>
                <w:lang w:val="en-US" w:eastAsia="zh-CN" w:bidi="ar-SA"/>
              </w:rPr>
              <w:t xml:space="preserve">2.本项目可以分包，但主体部分不得分包。本项目主体部分是指：                          </w:t>
            </w:r>
          </w:p>
        </w:tc>
      </w:tr>
      <w:tr w14:paraId="5AC4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noWrap w:val="0"/>
            <w:vAlign w:val="center"/>
          </w:tcPr>
          <w:p w14:paraId="2E7866DA">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6</w:t>
            </w:r>
          </w:p>
        </w:tc>
        <w:tc>
          <w:tcPr>
            <w:tcW w:w="1726" w:type="dxa"/>
            <w:noWrap w:val="0"/>
            <w:vAlign w:val="center"/>
          </w:tcPr>
          <w:p w14:paraId="0200FFEB">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信用信息记录查询截止时间</w:t>
            </w:r>
          </w:p>
        </w:tc>
        <w:tc>
          <w:tcPr>
            <w:tcW w:w="7504" w:type="dxa"/>
            <w:noWrap w:val="0"/>
            <w:vAlign w:val="center"/>
          </w:tcPr>
          <w:p w14:paraId="2C98C6EC">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同响应文件递交截止时间。</w:t>
            </w:r>
          </w:p>
        </w:tc>
      </w:tr>
      <w:tr w14:paraId="7D2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39" w:type="dxa"/>
            <w:noWrap w:val="0"/>
            <w:vAlign w:val="center"/>
          </w:tcPr>
          <w:p w14:paraId="5F020F6A">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7</w:t>
            </w:r>
          </w:p>
        </w:tc>
        <w:tc>
          <w:tcPr>
            <w:tcW w:w="1726" w:type="dxa"/>
            <w:noWrap w:val="0"/>
            <w:vAlign w:val="center"/>
          </w:tcPr>
          <w:p w14:paraId="0BC5DC04">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现场考察</w:t>
            </w:r>
          </w:p>
        </w:tc>
        <w:tc>
          <w:tcPr>
            <w:tcW w:w="7504" w:type="dxa"/>
            <w:noWrap w:val="0"/>
            <w:vAlign w:val="center"/>
          </w:tcPr>
          <w:p w14:paraId="15FC0A2E">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采购人不组织现场考察。</w:t>
            </w:r>
          </w:p>
        </w:tc>
      </w:tr>
      <w:tr w14:paraId="59C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39" w:type="dxa"/>
            <w:noWrap w:val="0"/>
            <w:vAlign w:val="center"/>
          </w:tcPr>
          <w:p w14:paraId="51C5B561">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8</w:t>
            </w:r>
          </w:p>
        </w:tc>
        <w:tc>
          <w:tcPr>
            <w:tcW w:w="1726" w:type="dxa"/>
            <w:noWrap w:val="0"/>
            <w:vAlign w:val="center"/>
          </w:tcPr>
          <w:p w14:paraId="0E38E0D8">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询比的澄清、答疑、修改、补充截止时间</w:t>
            </w:r>
          </w:p>
        </w:tc>
        <w:tc>
          <w:tcPr>
            <w:tcW w:w="7504" w:type="dxa"/>
            <w:noWrap w:val="0"/>
            <w:vAlign w:val="center"/>
          </w:tcPr>
          <w:p w14:paraId="6591C4B9">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响应文件递交截止时间3天前。</w:t>
            </w:r>
          </w:p>
        </w:tc>
      </w:tr>
      <w:tr w14:paraId="736B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39" w:type="dxa"/>
            <w:noWrap w:val="0"/>
            <w:vAlign w:val="center"/>
          </w:tcPr>
          <w:p w14:paraId="78EA2701">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9</w:t>
            </w:r>
          </w:p>
        </w:tc>
        <w:tc>
          <w:tcPr>
            <w:tcW w:w="1726" w:type="dxa"/>
            <w:noWrap w:val="0"/>
            <w:vAlign w:val="center"/>
          </w:tcPr>
          <w:p w14:paraId="5B9E99F8">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询比的澄清、答疑、修改、补充发布方式</w:t>
            </w:r>
          </w:p>
        </w:tc>
        <w:tc>
          <w:tcPr>
            <w:tcW w:w="7504" w:type="dxa"/>
            <w:noWrap w:val="0"/>
            <w:vAlign w:val="center"/>
          </w:tcPr>
          <w:p w14:paraId="37F22FD7">
            <w:pPr>
              <w:snapToGrid w:val="0"/>
              <w:spacing w:line="312" w:lineRule="auto"/>
              <w:rPr>
                <w:rFonts w:hint="default"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书面通知</w:t>
            </w:r>
          </w:p>
        </w:tc>
      </w:tr>
      <w:tr w14:paraId="2E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39" w:type="dxa"/>
            <w:noWrap w:val="0"/>
            <w:vAlign w:val="center"/>
          </w:tcPr>
          <w:p w14:paraId="14B81E7C">
            <w:pPr>
              <w:snapToGrid w:val="0"/>
              <w:spacing w:line="312" w:lineRule="auto"/>
              <w:jc w:val="center"/>
              <w:rPr>
                <w:rFonts w:hint="default"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10</w:t>
            </w:r>
          </w:p>
        </w:tc>
        <w:tc>
          <w:tcPr>
            <w:tcW w:w="1726" w:type="dxa"/>
            <w:noWrap w:val="0"/>
            <w:vAlign w:val="center"/>
          </w:tcPr>
          <w:p w14:paraId="243208EC">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报价文件的组成</w:t>
            </w:r>
          </w:p>
        </w:tc>
        <w:tc>
          <w:tcPr>
            <w:tcW w:w="7504" w:type="dxa"/>
            <w:noWrap w:val="0"/>
            <w:vAlign w:val="center"/>
          </w:tcPr>
          <w:p w14:paraId="68BEC4C7">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1.报价一览表；</w:t>
            </w:r>
          </w:p>
          <w:p w14:paraId="374BB6A2">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2.报价明细表；</w:t>
            </w:r>
          </w:p>
          <w:p w14:paraId="7606A2ED">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3.供应商针对报价需要说明的其他文件和说明。</w:t>
            </w:r>
          </w:p>
          <w:p w14:paraId="129617E3">
            <w:pPr>
              <w:pStyle w:val="9"/>
              <w:ind w:left="0" w:leftChars="0" w:firstLine="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注：编制格式要求见第六章响应文件格式，无格式的自行设计。</w:t>
            </w:r>
          </w:p>
        </w:tc>
      </w:tr>
      <w:tr w14:paraId="6253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noWrap w:val="0"/>
            <w:vAlign w:val="center"/>
          </w:tcPr>
          <w:p w14:paraId="60FF7AA6">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11</w:t>
            </w:r>
          </w:p>
        </w:tc>
        <w:tc>
          <w:tcPr>
            <w:tcW w:w="1726" w:type="dxa"/>
            <w:noWrap w:val="0"/>
            <w:vAlign w:val="center"/>
          </w:tcPr>
          <w:p w14:paraId="27C20F61">
            <w:pPr>
              <w:snapToGrid w:val="0"/>
              <w:spacing w:line="312" w:lineRule="auto"/>
              <w:jc w:val="center"/>
              <w:rPr>
                <w:rFonts w:hint="eastAsia" w:ascii="宋体" w:hAnsi="宋体" w:cs="宋体"/>
                <w:bCs/>
                <w:sz w:val="24"/>
              </w:rPr>
            </w:pPr>
            <w:r>
              <w:rPr>
                <w:rFonts w:hint="eastAsia" w:ascii="宋体" w:hAnsi="宋体" w:cs="宋体"/>
                <w:bCs/>
                <w:sz w:val="24"/>
              </w:rPr>
              <w:t>响应文件有效期</w:t>
            </w:r>
          </w:p>
        </w:tc>
        <w:tc>
          <w:tcPr>
            <w:tcW w:w="7504" w:type="dxa"/>
            <w:noWrap w:val="0"/>
            <w:vAlign w:val="center"/>
          </w:tcPr>
          <w:p w14:paraId="55CC11D3">
            <w:pPr>
              <w:snapToGrid w:val="0"/>
              <w:spacing w:line="312" w:lineRule="auto"/>
              <w:rPr>
                <w:rFonts w:hint="eastAsia" w:ascii="宋体" w:hAnsi="宋体" w:eastAsia="宋体" w:cs="宋体"/>
                <w:b/>
                <w:sz w:val="24"/>
                <w:lang w:eastAsia="zh-CN"/>
              </w:rPr>
            </w:pPr>
            <w:r>
              <w:rPr>
                <w:rFonts w:hint="eastAsia" w:ascii="宋体" w:hAnsi="宋体" w:cs="宋体"/>
                <w:bCs/>
                <w:color w:val="000000"/>
                <w:sz w:val="24"/>
              </w:rPr>
              <w:t>90天</w:t>
            </w:r>
          </w:p>
        </w:tc>
      </w:tr>
      <w:tr w14:paraId="68C3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noWrap w:val="0"/>
            <w:vAlign w:val="center"/>
          </w:tcPr>
          <w:p w14:paraId="2CD5C91F">
            <w:pPr>
              <w:snapToGrid w:val="0"/>
              <w:spacing w:line="312"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12</w:t>
            </w:r>
          </w:p>
        </w:tc>
        <w:tc>
          <w:tcPr>
            <w:tcW w:w="1726" w:type="dxa"/>
            <w:noWrap w:val="0"/>
            <w:vAlign w:val="center"/>
          </w:tcPr>
          <w:p w14:paraId="62DFBC40">
            <w:pPr>
              <w:snapToGrid w:val="0"/>
              <w:spacing w:line="312" w:lineRule="auto"/>
              <w:jc w:val="center"/>
              <w:rPr>
                <w:rFonts w:hint="eastAsia" w:ascii="宋体" w:hAnsi="宋体" w:cs="宋体"/>
                <w:bCs/>
                <w:sz w:val="24"/>
              </w:rPr>
            </w:pPr>
            <w:r>
              <w:rPr>
                <w:rFonts w:hint="eastAsia" w:ascii="宋体" w:hAnsi="宋体" w:cs="宋体"/>
                <w:sz w:val="24"/>
              </w:rPr>
              <w:t>响应文件的份数</w:t>
            </w:r>
          </w:p>
        </w:tc>
        <w:tc>
          <w:tcPr>
            <w:tcW w:w="7504" w:type="dxa"/>
            <w:noWrap w:val="0"/>
            <w:vAlign w:val="center"/>
          </w:tcPr>
          <w:p w14:paraId="2DB18CDB">
            <w:pPr>
              <w:spacing w:line="360" w:lineRule="auto"/>
              <w:rPr>
                <w:rFonts w:hint="eastAsia"/>
                <w:sz w:val="24"/>
                <w:szCs w:val="24"/>
              </w:rPr>
            </w:pPr>
            <w:r>
              <w:rPr>
                <w:rFonts w:hint="eastAsia"/>
                <w:sz w:val="24"/>
                <w:szCs w:val="24"/>
                <w:lang w:val="en-US" w:eastAsia="zh-CN"/>
              </w:rPr>
              <w:t>1、</w:t>
            </w:r>
            <w:r>
              <w:rPr>
                <w:rFonts w:hint="eastAsia"/>
                <w:sz w:val="24"/>
                <w:szCs w:val="24"/>
              </w:rPr>
              <w:t>1正及U盘1份。【U盘内含响应文件正本签字盖章之后的PDF文件】</w:t>
            </w:r>
          </w:p>
          <w:p w14:paraId="7F29D4DA">
            <w:pPr>
              <w:pStyle w:val="6"/>
              <w:rPr>
                <w:rFonts w:hint="eastAsia"/>
              </w:rPr>
            </w:pPr>
            <w:r>
              <w:rPr>
                <w:rFonts w:hint="eastAsia" w:ascii="仿宋" w:hAnsi="仿宋" w:eastAsia="仿宋" w:cs="仿宋"/>
                <w:kern w:val="2"/>
                <w:sz w:val="24"/>
                <w:szCs w:val="24"/>
                <w:lang w:val="en-US" w:eastAsia="zh-CN" w:bidi="ar-SA"/>
              </w:rPr>
              <w:t>2、</w:t>
            </w:r>
            <w:r>
              <w:rPr>
                <w:rFonts w:hint="eastAsia" w:asciiTheme="minorHAnsi" w:hAnsiTheme="minorHAnsi" w:eastAsiaTheme="minorEastAsia" w:cstheme="minorBidi"/>
                <w:b/>
                <w:bCs/>
                <w:kern w:val="2"/>
                <w:sz w:val="24"/>
                <w:szCs w:val="24"/>
                <w:lang w:val="en-US" w:eastAsia="zh-CN" w:bidi="ar-SA"/>
              </w:rPr>
              <w:t>供应商应按照第六章格式要求制作响应文件，分包制作响应文件，不可多个包装订在一起。</w:t>
            </w:r>
          </w:p>
        </w:tc>
      </w:tr>
      <w:tr w14:paraId="58FC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noWrap w:val="0"/>
            <w:vAlign w:val="center"/>
          </w:tcPr>
          <w:p w14:paraId="2C6B5797">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13</w:t>
            </w:r>
          </w:p>
        </w:tc>
        <w:tc>
          <w:tcPr>
            <w:tcW w:w="1726" w:type="dxa"/>
            <w:noWrap w:val="0"/>
            <w:vAlign w:val="center"/>
          </w:tcPr>
          <w:p w14:paraId="65DF3CDB">
            <w:pPr>
              <w:snapToGrid w:val="0"/>
              <w:spacing w:line="312" w:lineRule="auto"/>
              <w:jc w:val="center"/>
              <w:rPr>
                <w:rFonts w:hint="eastAsia" w:ascii="宋体" w:hAnsi="宋体" w:cs="宋体"/>
                <w:bCs/>
                <w:sz w:val="24"/>
              </w:rPr>
            </w:pPr>
            <w:r>
              <w:rPr>
                <w:rFonts w:hint="eastAsia" w:ascii="宋体" w:hAnsi="宋体" w:cs="宋体"/>
                <w:bCs/>
                <w:sz w:val="24"/>
              </w:rPr>
              <w:t>响应文件提交地点</w:t>
            </w:r>
          </w:p>
        </w:tc>
        <w:tc>
          <w:tcPr>
            <w:tcW w:w="7504" w:type="dxa"/>
            <w:noWrap w:val="0"/>
            <w:vAlign w:val="center"/>
          </w:tcPr>
          <w:p w14:paraId="37AC01B0">
            <w:pPr>
              <w:snapToGrid w:val="0"/>
              <w:spacing w:line="312" w:lineRule="auto"/>
              <w:rPr>
                <w:rFonts w:hint="eastAsia" w:ascii="宋体" w:hAnsi="宋体" w:cs="宋体"/>
                <w:bCs/>
                <w:sz w:val="24"/>
              </w:rPr>
            </w:pPr>
            <w:r>
              <w:rPr>
                <w:rFonts w:hint="eastAsia" w:ascii="宋体" w:hAnsi="宋体" w:cs="宋体"/>
                <w:bCs/>
                <w:sz w:val="24"/>
              </w:rPr>
              <w:t>供应商须在</w:t>
            </w:r>
            <w:r>
              <w:rPr>
                <w:rFonts w:hint="eastAsia" w:ascii="宋体" w:hAnsi="宋体" w:cs="宋体"/>
                <w:bCs/>
                <w:sz w:val="24"/>
                <w:lang w:eastAsia="zh-CN"/>
              </w:rPr>
              <w:t>询比</w:t>
            </w:r>
            <w:r>
              <w:rPr>
                <w:rFonts w:hint="eastAsia" w:ascii="宋体" w:hAnsi="宋体" w:cs="宋体"/>
                <w:bCs/>
                <w:sz w:val="24"/>
              </w:rPr>
              <w:t>截止时间前，</w:t>
            </w:r>
            <w:bookmarkStart w:id="53" w:name="OLE_LINK23"/>
            <w:r>
              <w:rPr>
                <w:rFonts w:hint="eastAsia" w:ascii="宋体" w:hAnsi="宋体" w:cs="宋体"/>
                <w:bCs/>
                <w:sz w:val="24"/>
                <w:lang w:eastAsia="zh-CN"/>
              </w:rPr>
              <w:t>云南省个旧市金湖东路229号红河州第三人民医院6号楼</w:t>
            </w:r>
            <w:r>
              <w:rPr>
                <w:rFonts w:hint="eastAsia" w:ascii="宋体" w:hAnsi="宋体" w:cs="宋体"/>
                <w:bCs/>
                <w:sz w:val="24"/>
                <w:lang w:val="en-US" w:eastAsia="zh-CN"/>
              </w:rPr>
              <w:t>3楼3</w:t>
            </w:r>
            <w:r>
              <w:rPr>
                <w:rFonts w:hint="eastAsia" w:ascii="宋体" w:hAnsi="宋体" w:cs="宋体"/>
                <w:bCs/>
                <w:sz w:val="24"/>
                <w:lang w:eastAsia="zh-CN"/>
              </w:rPr>
              <w:t>-</w:t>
            </w:r>
            <w:r>
              <w:rPr>
                <w:rFonts w:hint="eastAsia" w:ascii="宋体" w:hAnsi="宋体" w:cs="宋体"/>
                <w:bCs/>
                <w:sz w:val="24"/>
                <w:lang w:val="en-US" w:eastAsia="zh-CN"/>
              </w:rPr>
              <w:t>5</w:t>
            </w:r>
            <w:bookmarkEnd w:id="53"/>
            <w:r>
              <w:rPr>
                <w:rFonts w:hint="eastAsia" w:ascii="宋体" w:hAnsi="宋体" w:cs="宋体"/>
                <w:color w:val="000000"/>
                <w:sz w:val="24"/>
              </w:rPr>
              <w:t>递交响应文件。</w:t>
            </w:r>
          </w:p>
        </w:tc>
      </w:tr>
      <w:tr w14:paraId="2BC2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14:paraId="6D637462">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14</w:t>
            </w:r>
          </w:p>
        </w:tc>
        <w:tc>
          <w:tcPr>
            <w:tcW w:w="1726" w:type="dxa"/>
            <w:noWrap w:val="0"/>
            <w:vAlign w:val="center"/>
          </w:tcPr>
          <w:p w14:paraId="1BA4D6B4">
            <w:pPr>
              <w:snapToGrid w:val="0"/>
              <w:spacing w:line="312" w:lineRule="auto"/>
              <w:jc w:val="center"/>
              <w:rPr>
                <w:rFonts w:hint="eastAsia" w:ascii="宋体" w:hAnsi="宋体" w:cs="宋体"/>
                <w:bCs/>
                <w:sz w:val="24"/>
              </w:rPr>
            </w:pPr>
            <w:r>
              <w:rPr>
                <w:rFonts w:hint="eastAsia" w:ascii="宋体" w:hAnsi="宋体" w:cs="宋体"/>
                <w:bCs/>
                <w:sz w:val="24"/>
              </w:rPr>
              <w:t>响应文件提交</w:t>
            </w:r>
          </w:p>
          <w:p w14:paraId="118F35AE">
            <w:pPr>
              <w:snapToGrid w:val="0"/>
              <w:spacing w:line="312" w:lineRule="auto"/>
              <w:jc w:val="center"/>
              <w:rPr>
                <w:rFonts w:hint="eastAsia" w:ascii="宋体" w:hAnsi="宋体" w:cs="宋体"/>
                <w:bCs/>
                <w:sz w:val="24"/>
              </w:rPr>
            </w:pPr>
            <w:r>
              <w:rPr>
                <w:rFonts w:hint="eastAsia" w:ascii="宋体" w:hAnsi="宋体" w:cs="宋体"/>
                <w:bCs/>
                <w:sz w:val="24"/>
              </w:rPr>
              <w:t>截止时间</w:t>
            </w:r>
          </w:p>
        </w:tc>
        <w:tc>
          <w:tcPr>
            <w:tcW w:w="7504" w:type="dxa"/>
            <w:noWrap w:val="0"/>
            <w:vAlign w:val="center"/>
          </w:tcPr>
          <w:p w14:paraId="258DEBE1">
            <w:pPr>
              <w:snapToGrid w:val="0"/>
              <w:spacing w:line="312" w:lineRule="auto"/>
              <w:rPr>
                <w:rFonts w:hint="eastAsia" w:ascii="宋体" w:hAnsi="宋体" w:cs="宋体"/>
                <w:bCs/>
                <w:sz w:val="24"/>
              </w:rPr>
            </w:pPr>
            <w:r>
              <w:rPr>
                <w:rFonts w:hint="eastAsia" w:ascii="宋体" w:hAnsi="宋体" w:cs="宋体"/>
                <w:b/>
                <w:bCs/>
                <w:sz w:val="24"/>
              </w:rPr>
              <w:t>同</w:t>
            </w:r>
            <w:r>
              <w:rPr>
                <w:rFonts w:hint="eastAsia" w:ascii="宋体" w:hAnsi="宋体" w:cs="宋体"/>
                <w:b/>
                <w:sz w:val="24"/>
                <w:lang w:eastAsia="zh-CN"/>
              </w:rPr>
              <w:t>询比</w:t>
            </w:r>
            <w:r>
              <w:rPr>
                <w:rFonts w:hint="eastAsia" w:ascii="宋体" w:hAnsi="宋体" w:cs="宋体"/>
                <w:b/>
                <w:bCs/>
                <w:sz w:val="24"/>
              </w:rPr>
              <w:t>截止时间，见第一</w:t>
            </w:r>
            <w:r>
              <w:rPr>
                <w:rFonts w:hint="eastAsia" w:ascii="宋体" w:hAnsi="宋体" w:cs="宋体"/>
                <w:b/>
                <w:sz w:val="24"/>
              </w:rPr>
              <w:t>章</w:t>
            </w:r>
            <w:r>
              <w:rPr>
                <w:rFonts w:hint="eastAsia" w:ascii="宋体" w:hAnsi="宋体" w:cs="宋体"/>
                <w:b/>
                <w:sz w:val="24"/>
                <w:lang w:eastAsia="zh-CN"/>
              </w:rPr>
              <w:t>询比</w:t>
            </w:r>
            <w:r>
              <w:rPr>
                <w:rFonts w:hint="eastAsia" w:ascii="宋体" w:hAnsi="宋体" w:cs="宋体"/>
                <w:b/>
                <w:sz w:val="24"/>
              </w:rPr>
              <w:t>公告。</w:t>
            </w:r>
          </w:p>
        </w:tc>
      </w:tr>
      <w:tr w14:paraId="221A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14:paraId="7A6CD480">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15</w:t>
            </w:r>
          </w:p>
        </w:tc>
        <w:tc>
          <w:tcPr>
            <w:tcW w:w="1726" w:type="dxa"/>
            <w:noWrap w:val="0"/>
            <w:vAlign w:val="center"/>
          </w:tcPr>
          <w:p w14:paraId="27FFEA17">
            <w:pPr>
              <w:snapToGrid w:val="0"/>
              <w:spacing w:line="360" w:lineRule="auto"/>
              <w:jc w:val="center"/>
              <w:rPr>
                <w:rFonts w:hint="eastAsia" w:ascii="宋体" w:hAnsi="宋体" w:cs="宋体"/>
                <w:bCs/>
                <w:sz w:val="24"/>
              </w:rPr>
            </w:pPr>
            <w:r>
              <w:rPr>
                <w:rFonts w:hint="eastAsia" w:ascii="宋体" w:hAnsi="宋体" w:cs="宋体"/>
                <w:bCs/>
                <w:sz w:val="24"/>
              </w:rPr>
              <w:t>是否退还响应文件</w:t>
            </w:r>
          </w:p>
        </w:tc>
        <w:tc>
          <w:tcPr>
            <w:tcW w:w="7504" w:type="dxa"/>
            <w:noWrap w:val="0"/>
            <w:vAlign w:val="center"/>
          </w:tcPr>
          <w:p w14:paraId="036FC058">
            <w:pPr>
              <w:snapToGrid w:val="0"/>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eq \o\ac(</w:instrText>
            </w:r>
            <w:r>
              <w:rPr>
                <w:rFonts w:hint="eastAsia" w:ascii="宋体" w:hAnsi="宋体" w:cs="宋体"/>
                <w:bCs/>
                <w:position w:val="-4"/>
                <w:sz w:val="36"/>
              </w:rPr>
              <w:instrText xml:space="preserve">□</w:instrText>
            </w:r>
            <w:r>
              <w:rPr>
                <w:rFonts w:hint="eastAsia" w:ascii="宋体" w:hAnsi="宋体" w:cs="宋体"/>
                <w:bCs/>
                <w:sz w:val="24"/>
              </w:rPr>
              <w:instrText xml:space="preserve">,√)</w:instrText>
            </w:r>
            <w:r>
              <w:rPr>
                <w:rFonts w:hint="eastAsia" w:ascii="宋体" w:hAnsi="宋体" w:cs="宋体"/>
                <w:bCs/>
                <w:sz w:val="24"/>
              </w:rPr>
              <w:fldChar w:fldCharType="end"/>
            </w:r>
            <w:r>
              <w:rPr>
                <w:rFonts w:hint="eastAsia" w:ascii="宋体" w:hAnsi="宋体" w:cs="宋体"/>
                <w:bCs/>
                <w:sz w:val="24"/>
              </w:rPr>
              <w:t>否   □是</w:t>
            </w:r>
          </w:p>
        </w:tc>
      </w:tr>
      <w:tr w14:paraId="218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14:paraId="269BDEAC">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16</w:t>
            </w:r>
          </w:p>
        </w:tc>
        <w:tc>
          <w:tcPr>
            <w:tcW w:w="1726" w:type="dxa"/>
            <w:noWrap w:val="0"/>
            <w:vAlign w:val="center"/>
          </w:tcPr>
          <w:p w14:paraId="3335FBF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lang w:eastAsia="zh-CN"/>
              </w:rPr>
              <w:t>询比</w:t>
            </w:r>
            <w:r>
              <w:rPr>
                <w:rFonts w:hint="eastAsia" w:ascii="宋体" w:hAnsi="宋体" w:cs="宋体"/>
                <w:bCs/>
                <w:sz w:val="24"/>
                <w:highlight w:val="none"/>
              </w:rPr>
              <w:t>时间和地点</w:t>
            </w:r>
          </w:p>
        </w:tc>
        <w:tc>
          <w:tcPr>
            <w:tcW w:w="7504" w:type="dxa"/>
            <w:noWrap w:val="0"/>
            <w:vAlign w:val="center"/>
          </w:tcPr>
          <w:p w14:paraId="15F66B9D">
            <w:pPr>
              <w:snapToGrid w:val="0"/>
              <w:spacing w:line="312" w:lineRule="auto"/>
              <w:rPr>
                <w:rFonts w:hint="eastAsia" w:ascii="宋体" w:hAnsi="宋体" w:cs="宋体"/>
                <w:b/>
                <w:bCs/>
                <w:sz w:val="24"/>
                <w:highlight w:val="none"/>
                <w:u w:val="single"/>
              </w:rPr>
            </w:pPr>
            <w:r>
              <w:rPr>
                <w:rFonts w:hint="eastAsia" w:ascii="宋体" w:hAnsi="宋体" w:cs="宋体"/>
                <w:bCs/>
                <w:sz w:val="24"/>
                <w:highlight w:val="none"/>
                <w:lang w:eastAsia="zh-CN"/>
              </w:rPr>
              <w:t>询比</w:t>
            </w:r>
            <w:r>
              <w:rPr>
                <w:rFonts w:hint="eastAsia" w:ascii="宋体" w:hAnsi="宋体" w:cs="宋体"/>
                <w:bCs/>
                <w:sz w:val="24"/>
                <w:highlight w:val="none"/>
              </w:rPr>
              <w:t>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12</w:t>
            </w:r>
            <w:bookmarkStart w:id="284" w:name="_GoBack"/>
            <w:bookmarkEnd w:id="284"/>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p>
          <w:p w14:paraId="3108AED7">
            <w:pPr>
              <w:snapToGrid w:val="0"/>
              <w:spacing w:line="360" w:lineRule="auto"/>
              <w:rPr>
                <w:rFonts w:hint="eastAsia" w:ascii="宋体" w:hAnsi="宋体" w:cs="宋体" w:eastAsiaTheme="minorEastAsia"/>
                <w:bCs/>
                <w:sz w:val="24"/>
                <w:highlight w:val="none"/>
                <w:lang w:val="en-US" w:eastAsia="zh-CN"/>
              </w:rPr>
            </w:pPr>
            <w:r>
              <w:rPr>
                <w:rFonts w:hint="eastAsia" w:ascii="宋体" w:hAnsi="宋体" w:cs="宋体"/>
                <w:bCs/>
                <w:sz w:val="24"/>
                <w:highlight w:val="none"/>
                <w:lang w:eastAsia="zh-CN"/>
              </w:rPr>
              <w:t>询比</w:t>
            </w:r>
            <w:r>
              <w:rPr>
                <w:rFonts w:hint="eastAsia" w:ascii="宋体" w:hAnsi="宋体" w:cs="宋体"/>
                <w:bCs/>
                <w:sz w:val="24"/>
                <w:highlight w:val="none"/>
              </w:rPr>
              <w:t>地点：云南省个旧市金湖东路229号红河州第三人民医院6号楼4-</w:t>
            </w:r>
            <w:r>
              <w:rPr>
                <w:rFonts w:hint="eastAsia" w:ascii="宋体" w:hAnsi="宋体" w:cs="宋体"/>
                <w:bCs/>
                <w:sz w:val="24"/>
                <w:highlight w:val="none"/>
                <w:lang w:val="en-US" w:eastAsia="zh-CN"/>
              </w:rPr>
              <w:t>4</w:t>
            </w:r>
            <w:r>
              <w:rPr>
                <w:rFonts w:hint="eastAsia" w:ascii="宋体" w:hAnsi="宋体" w:cs="宋体"/>
                <w:bCs/>
                <w:sz w:val="24"/>
                <w:highlight w:val="none"/>
              </w:rPr>
              <w:t> </w:t>
            </w:r>
            <w:r>
              <w:rPr>
                <w:rFonts w:hint="eastAsia" w:ascii="宋体" w:hAnsi="宋体" w:cs="宋体"/>
                <w:bCs/>
                <w:sz w:val="24"/>
                <w:highlight w:val="none"/>
                <w:lang w:eastAsia="zh-CN"/>
              </w:rPr>
              <w:t>。</w:t>
            </w:r>
          </w:p>
        </w:tc>
      </w:tr>
      <w:tr w14:paraId="4A6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 w:type="dxa"/>
            <w:noWrap w:val="0"/>
            <w:vAlign w:val="center"/>
          </w:tcPr>
          <w:p w14:paraId="071B0C8A">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17</w:t>
            </w:r>
          </w:p>
        </w:tc>
        <w:tc>
          <w:tcPr>
            <w:tcW w:w="1726" w:type="dxa"/>
            <w:noWrap w:val="0"/>
            <w:vAlign w:val="center"/>
          </w:tcPr>
          <w:p w14:paraId="5EB3DE48">
            <w:pPr>
              <w:snapToGrid w:val="0"/>
              <w:spacing w:line="312" w:lineRule="auto"/>
              <w:jc w:val="center"/>
              <w:rPr>
                <w:rFonts w:hint="eastAsia" w:ascii="宋体" w:hAnsi="宋体" w:cs="宋体"/>
                <w:bCs/>
                <w:sz w:val="24"/>
              </w:rPr>
            </w:pPr>
            <w:r>
              <w:rPr>
                <w:rFonts w:hint="eastAsia" w:ascii="宋体" w:hAnsi="宋体" w:cs="宋体"/>
                <w:bCs/>
                <w:sz w:val="24"/>
              </w:rPr>
              <w:t>询</w:t>
            </w:r>
            <w:r>
              <w:rPr>
                <w:rFonts w:hint="eastAsia" w:ascii="宋体" w:hAnsi="宋体" w:cs="宋体"/>
                <w:bCs/>
                <w:sz w:val="24"/>
                <w:lang w:eastAsia="zh-CN"/>
              </w:rPr>
              <w:t>比</w:t>
            </w:r>
            <w:r>
              <w:rPr>
                <w:rFonts w:hint="eastAsia" w:ascii="宋体" w:hAnsi="宋体" w:cs="宋体"/>
                <w:bCs/>
                <w:sz w:val="24"/>
              </w:rPr>
              <w:t>评审办法</w:t>
            </w:r>
          </w:p>
        </w:tc>
        <w:tc>
          <w:tcPr>
            <w:tcW w:w="7504" w:type="dxa"/>
            <w:noWrap w:val="0"/>
            <w:vAlign w:val="center"/>
          </w:tcPr>
          <w:p w14:paraId="36E409F2">
            <w:pPr>
              <w:snapToGrid w:val="0"/>
              <w:spacing w:line="312" w:lineRule="auto"/>
              <w:rPr>
                <w:rFonts w:hint="eastAsia" w:ascii="宋体" w:hAnsi="宋体" w:cs="宋体"/>
                <w:bCs/>
                <w:sz w:val="24"/>
                <w:u w:val="single"/>
              </w:rPr>
            </w:pPr>
            <w:r>
              <w:rPr>
                <w:rFonts w:hint="eastAsia" w:ascii="宋体" w:hAnsi="宋体" w:cs="宋体"/>
                <w:bCs/>
                <w:sz w:val="24"/>
                <w:u w:val="single"/>
              </w:rPr>
              <w:t>最低评标价法，最低评标价法是指响应文件满足询</w:t>
            </w:r>
            <w:r>
              <w:rPr>
                <w:rFonts w:hint="eastAsia" w:ascii="宋体" w:hAnsi="宋体" w:cs="宋体"/>
                <w:bCs/>
                <w:sz w:val="24"/>
                <w:u w:val="single"/>
                <w:lang w:eastAsia="zh-CN"/>
              </w:rPr>
              <w:t>比文件</w:t>
            </w:r>
            <w:r>
              <w:rPr>
                <w:rFonts w:hint="eastAsia" w:ascii="宋体" w:hAnsi="宋体" w:cs="宋体"/>
                <w:bCs/>
                <w:sz w:val="24"/>
                <w:u w:val="single"/>
              </w:rPr>
              <w:t>全部实质性要求，且报价最低的供应商为成交候选人的评审办法。</w:t>
            </w:r>
          </w:p>
        </w:tc>
      </w:tr>
      <w:tr w14:paraId="0BC8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39" w:type="dxa"/>
            <w:noWrap w:val="0"/>
            <w:vAlign w:val="center"/>
          </w:tcPr>
          <w:p w14:paraId="7F72DE5F">
            <w:pPr>
              <w:snapToGrid w:val="0"/>
              <w:spacing w:line="312" w:lineRule="auto"/>
              <w:jc w:val="center"/>
              <w:rPr>
                <w:rFonts w:hint="default" w:ascii="宋体" w:hAnsi="宋体" w:eastAsia="宋体" w:cs="宋体"/>
                <w:bCs/>
                <w:sz w:val="24"/>
                <w:highlight w:val="yellow"/>
                <w:lang w:val="en-US" w:eastAsia="zh-CN"/>
              </w:rPr>
            </w:pPr>
            <w:r>
              <w:rPr>
                <w:rFonts w:hint="eastAsia" w:ascii="宋体" w:hAnsi="宋体" w:cs="宋体"/>
                <w:bCs/>
                <w:sz w:val="24"/>
                <w:highlight w:val="none"/>
                <w:lang w:val="en-US" w:eastAsia="zh-CN"/>
              </w:rPr>
              <w:t>18</w:t>
            </w:r>
          </w:p>
        </w:tc>
        <w:tc>
          <w:tcPr>
            <w:tcW w:w="1726" w:type="dxa"/>
            <w:noWrap w:val="0"/>
            <w:vAlign w:val="center"/>
          </w:tcPr>
          <w:p w14:paraId="3E182B4E">
            <w:pPr>
              <w:snapToGrid w:val="0"/>
              <w:spacing w:line="312" w:lineRule="auto"/>
              <w:rPr>
                <w:rFonts w:hint="eastAsia" w:ascii="宋体" w:hAnsi="宋体" w:cs="宋体"/>
                <w:bCs/>
                <w:sz w:val="24"/>
                <w:lang w:val="en-US" w:eastAsia="zh-CN"/>
              </w:rPr>
            </w:pPr>
            <w:r>
              <w:rPr>
                <w:rFonts w:hint="eastAsia" w:ascii="宋体" w:hAnsi="宋体" w:cs="宋体"/>
                <w:bCs/>
                <w:sz w:val="24"/>
                <w:lang w:val="zh-CN"/>
              </w:rPr>
              <w:t>付款方式</w:t>
            </w:r>
          </w:p>
        </w:tc>
        <w:tc>
          <w:tcPr>
            <w:tcW w:w="7504" w:type="dxa"/>
            <w:noWrap w:val="0"/>
            <w:vAlign w:val="center"/>
          </w:tcPr>
          <w:p w14:paraId="57D7D916">
            <w:pPr>
              <w:snapToGrid w:val="0"/>
              <w:spacing w:line="312" w:lineRule="auto"/>
              <w:rPr>
                <w:rFonts w:hint="eastAsia" w:ascii="宋体" w:hAnsi="宋体" w:cs="宋体"/>
                <w:bCs/>
                <w:sz w:val="24"/>
                <w:lang w:val="en-US" w:eastAsia="zh-CN"/>
              </w:rPr>
            </w:pPr>
            <w:r>
              <w:rPr>
                <w:rFonts w:hint="eastAsia" w:ascii="宋体" w:hAnsi="宋体" w:cs="宋体"/>
                <w:bCs/>
                <w:sz w:val="24"/>
                <w:lang w:val="en-US" w:eastAsia="zh-CN"/>
              </w:rPr>
              <w:t>账期6个月（例如7月付1月的款，8月付2月的款，以此类推），甲、乙双方对账结算，办理货款。甲方在收到乙方开具的正规增值税发票及销货清单后按账期办理付款手续。若成交供应商为中小企业（中型企业、小型企业和微型企业）则遵从《保障中小企业款项支付条例》执行。</w:t>
            </w:r>
          </w:p>
        </w:tc>
      </w:tr>
      <w:tr w14:paraId="7CB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 w:type="dxa"/>
            <w:noWrap w:val="0"/>
            <w:vAlign w:val="center"/>
          </w:tcPr>
          <w:p w14:paraId="67C9FE31">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19</w:t>
            </w:r>
          </w:p>
        </w:tc>
        <w:tc>
          <w:tcPr>
            <w:tcW w:w="1726" w:type="dxa"/>
            <w:noWrap w:val="0"/>
            <w:vAlign w:val="center"/>
          </w:tcPr>
          <w:p w14:paraId="3ADA6236">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rPr>
              <w:t>询</w:t>
            </w:r>
            <w:r>
              <w:rPr>
                <w:rFonts w:hint="eastAsia" w:ascii="宋体" w:hAnsi="宋体" w:cs="宋体"/>
                <w:bCs/>
                <w:sz w:val="24"/>
                <w:lang w:eastAsia="zh-CN"/>
              </w:rPr>
              <w:t>比</w:t>
            </w:r>
            <w:r>
              <w:rPr>
                <w:rFonts w:hint="eastAsia" w:ascii="宋体" w:hAnsi="宋体" w:cs="宋体"/>
                <w:bCs/>
                <w:sz w:val="24"/>
              </w:rPr>
              <w:t>保证金</w:t>
            </w:r>
          </w:p>
        </w:tc>
        <w:tc>
          <w:tcPr>
            <w:tcW w:w="7504" w:type="dxa"/>
            <w:noWrap w:val="0"/>
            <w:vAlign w:val="center"/>
          </w:tcPr>
          <w:p w14:paraId="0530F8B0">
            <w:pPr>
              <w:snapToGrid w:val="0"/>
              <w:spacing w:line="312" w:lineRule="auto"/>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w:t>
            </w:r>
          </w:p>
        </w:tc>
      </w:tr>
      <w:tr w14:paraId="478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 w:type="dxa"/>
            <w:noWrap w:val="0"/>
            <w:vAlign w:val="center"/>
          </w:tcPr>
          <w:p w14:paraId="0333E1D2">
            <w:pPr>
              <w:snapToGrid w:val="0"/>
              <w:spacing w:line="312"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lang w:val="en-US" w:eastAsia="zh-CN"/>
              </w:rPr>
              <w:t>20</w:t>
            </w:r>
          </w:p>
        </w:tc>
        <w:tc>
          <w:tcPr>
            <w:tcW w:w="1726" w:type="dxa"/>
            <w:noWrap w:val="0"/>
            <w:vAlign w:val="center"/>
          </w:tcPr>
          <w:p w14:paraId="308EA2BF">
            <w:pPr>
              <w:snapToGrid w:val="0"/>
              <w:spacing w:line="312"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highlight w:val="none"/>
              </w:rPr>
              <w:t>采购人</w:t>
            </w:r>
          </w:p>
        </w:tc>
        <w:tc>
          <w:tcPr>
            <w:tcW w:w="7504" w:type="dxa"/>
            <w:noWrap w:val="0"/>
            <w:vAlign w:val="center"/>
          </w:tcPr>
          <w:p w14:paraId="7C6088B8">
            <w:pPr>
              <w:snapToGrid w:val="0"/>
              <w:spacing w:line="312" w:lineRule="auto"/>
              <w:rPr>
                <w:rFonts w:hint="eastAsia" w:ascii="宋体" w:hAnsi="宋体" w:eastAsia="宋体" w:cs="宋体"/>
                <w:bCs/>
                <w:sz w:val="24"/>
                <w:highlight w:val="none"/>
              </w:rPr>
            </w:pPr>
            <w:r>
              <w:rPr>
                <w:rFonts w:hint="eastAsia" w:ascii="宋体" w:hAnsi="宋体" w:cs="宋体"/>
                <w:bCs/>
                <w:sz w:val="24"/>
                <w:highlight w:val="none"/>
              </w:rPr>
              <w:t>采购人名称：</w:t>
            </w:r>
            <w:r>
              <w:rPr>
                <w:rFonts w:hint="eastAsia" w:ascii="宋体" w:hAnsi="宋体" w:cs="宋体"/>
                <w:color w:val="auto"/>
                <w:sz w:val="24"/>
                <w:highlight w:val="none"/>
                <w:u w:val="none"/>
              </w:rPr>
              <w:t>红河哈尼族彝族自治州第三人民医院</w:t>
            </w:r>
          </w:p>
          <w:p w14:paraId="0809EC27">
            <w:pPr>
              <w:snapToGrid w:val="0"/>
              <w:spacing w:line="312" w:lineRule="auto"/>
              <w:rPr>
                <w:rFonts w:hint="default" w:ascii="宋体" w:hAnsi="宋体" w:eastAsia="宋体" w:cs="宋体"/>
                <w:kern w:val="2"/>
                <w:sz w:val="24"/>
                <w:szCs w:val="24"/>
                <w:highlight w:val="none"/>
                <w:lang w:val="en-US" w:eastAsia="zh-CN" w:bidi="ar-SA"/>
              </w:rPr>
            </w:pPr>
            <w:r>
              <w:rPr>
                <w:rFonts w:hint="eastAsia" w:ascii="宋体" w:hAnsi="宋体" w:cs="宋体"/>
                <w:bCs/>
                <w:sz w:val="24"/>
                <w:highlight w:val="none"/>
              </w:rPr>
              <w:t>联系电话：</w:t>
            </w:r>
            <w:r>
              <w:rPr>
                <w:rFonts w:hint="eastAsia" w:ascii="宋体" w:hAnsi="宋体" w:cs="宋体"/>
                <w:color w:val="auto"/>
                <w:sz w:val="24"/>
                <w:highlight w:val="none"/>
                <w:u w:val="none"/>
                <w:lang w:val="en-US" w:eastAsia="zh-CN"/>
              </w:rPr>
              <w:t>李</w:t>
            </w:r>
            <w:r>
              <w:rPr>
                <w:rFonts w:hint="eastAsia" w:ascii="宋体" w:hAnsi="宋体" w:cs="宋体"/>
                <w:color w:val="auto"/>
                <w:sz w:val="24"/>
                <w:highlight w:val="none"/>
                <w:u w:val="none"/>
              </w:rPr>
              <w:t>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p>
        </w:tc>
      </w:tr>
      <w:tr w14:paraId="3655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39" w:type="dxa"/>
            <w:noWrap w:val="0"/>
            <w:vAlign w:val="center"/>
          </w:tcPr>
          <w:p w14:paraId="0745553D">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21</w:t>
            </w:r>
          </w:p>
        </w:tc>
        <w:tc>
          <w:tcPr>
            <w:tcW w:w="1726" w:type="dxa"/>
            <w:noWrap w:val="0"/>
            <w:vAlign w:val="center"/>
          </w:tcPr>
          <w:p w14:paraId="48C1F69D">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lang w:val="zh-CN"/>
              </w:rPr>
              <w:t>免责声明</w:t>
            </w:r>
          </w:p>
        </w:tc>
        <w:tc>
          <w:tcPr>
            <w:tcW w:w="7504" w:type="dxa"/>
            <w:noWrap w:val="0"/>
            <w:vAlign w:val="center"/>
          </w:tcPr>
          <w:p w14:paraId="5C588EA4">
            <w:pPr>
              <w:snapToGrid w:val="0"/>
              <w:spacing w:line="312" w:lineRule="auto"/>
              <w:rPr>
                <w:rFonts w:hint="eastAsia" w:ascii="宋体" w:hAnsi="宋体" w:cs="宋体"/>
                <w:bCs/>
                <w:sz w:val="24"/>
                <w:lang w:val="zh-CN"/>
              </w:rPr>
            </w:pPr>
            <w:r>
              <w:rPr>
                <w:rFonts w:hint="eastAsia" w:ascii="宋体" w:hAnsi="宋体" w:cs="宋体"/>
                <w:bCs/>
                <w:sz w:val="24"/>
                <w:lang w:val="zh-CN"/>
              </w:rPr>
              <w:t>1.供应商自行承担询比过程中产生的费用。无论何种因素导致采购项目延期开标、废标（流标）、供应商未成交、项目终止采购的，采购人不承担供应商所有的费用。</w:t>
            </w:r>
          </w:p>
          <w:p w14:paraId="219E0290">
            <w:pPr>
              <w:snapToGrid w:val="0"/>
              <w:spacing w:line="312" w:lineRule="auto"/>
              <w:rPr>
                <w:rFonts w:hint="eastAsia" w:ascii="宋体" w:hAnsi="宋体" w:cs="宋体"/>
                <w:bCs/>
                <w:kern w:val="2"/>
                <w:sz w:val="24"/>
                <w:szCs w:val="24"/>
                <w:lang w:val="en-US" w:eastAsia="zh-CN" w:bidi="ar-SA"/>
              </w:rPr>
            </w:pPr>
            <w:r>
              <w:rPr>
                <w:rFonts w:hint="eastAsia" w:ascii="宋体" w:hAnsi="宋体" w:cs="宋体"/>
                <w:bCs/>
                <w:sz w:val="24"/>
                <w:lang w:val="zh-CN"/>
              </w:rPr>
              <w:t>2.供应商在</w:t>
            </w:r>
            <w:r>
              <w:rPr>
                <w:rFonts w:hint="eastAsia" w:ascii="宋体" w:hAnsi="宋体" w:cs="宋体"/>
                <w:bCs/>
                <w:sz w:val="24"/>
                <w:lang w:eastAsia="zh-CN"/>
              </w:rPr>
              <w:t>询比</w:t>
            </w:r>
            <w:r>
              <w:rPr>
                <w:rFonts w:hint="eastAsia" w:ascii="宋体" w:hAnsi="宋体" w:cs="宋体"/>
                <w:bCs/>
                <w:sz w:val="24"/>
                <w:lang w:val="zh-CN"/>
              </w:rPr>
              <w:t>、合同履行过程中必须做好安全保障工作，不因项目实施而危及自身及第三方人员、财产安全。若发生任何安全事故，由成交供应商自行承担一切责任并赔偿损失。</w:t>
            </w:r>
          </w:p>
        </w:tc>
      </w:tr>
      <w:tr w14:paraId="544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39" w:type="dxa"/>
            <w:noWrap w:val="0"/>
            <w:vAlign w:val="center"/>
          </w:tcPr>
          <w:p w14:paraId="23C3D2EF">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22</w:t>
            </w:r>
          </w:p>
        </w:tc>
        <w:tc>
          <w:tcPr>
            <w:tcW w:w="1726" w:type="dxa"/>
            <w:noWrap w:val="0"/>
            <w:vAlign w:val="center"/>
          </w:tcPr>
          <w:p w14:paraId="28186ACA">
            <w:pPr>
              <w:snapToGrid w:val="0"/>
              <w:spacing w:line="312" w:lineRule="auto"/>
              <w:jc w:val="center"/>
              <w:rPr>
                <w:rFonts w:hint="eastAsia" w:ascii="宋体" w:hAnsi="宋体" w:cs="宋体"/>
                <w:bCs/>
                <w:sz w:val="24"/>
                <w:lang w:val="zh-CN"/>
              </w:rPr>
            </w:pPr>
            <w:r>
              <w:rPr>
                <w:rFonts w:hint="eastAsia" w:ascii="宋体" w:hAnsi="宋体" w:cs="宋体"/>
                <w:bCs/>
                <w:color w:val="auto"/>
                <w:sz w:val="24"/>
                <w:highlight w:val="none"/>
                <w:lang w:val="zh-CN"/>
              </w:rPr>
              <w:t>说明</w:t>
            </w:r>
          </w:p>
        </w:tc>
        <w:tc>
          <w:tcPr>
            <w:tcW w:w="7504" w:type="dxa"/>
            <w:noWrap w:val="0"/>
            <w:vAlign w:val="center"/>
          </w:tcPr>
          <w:p w14:paraId="2DC7E2DB">
            <w:pPr>
              <w:snapToGrid w:val="0"/>
              <w:spacing w:line="312" w:lineRule="auto"/>
              <w:rPr>
                <w:rFonts w:hint="default" w:ascii="宋体" w:hAnsi="宋体" w:cs="宋体"/>
                <w:bCs/>
                <w:sz w:val="24"/>
                <w:lang w:val="en-US"/>
              </w:rPr>
            </w:pPr>
            <w:r>
              <w:rPr>
                <w:rFonts w:hint="eastAsia" w:ascii="宋体" w:hAnsi="宋体" w:cs="宋体"/>
                <w:bCs/>
                <w:sz w:val="24"/>
                <w:lang w:val="en-US" w:eastAsia="zh-CN"/>
              </w:rPr>
              <w:t>本采购文件中若存在相关产品的具体品牌、型号，均不作为指定要求，而仅为技术水平、产品品质的客观参考，以上内容不作为技术评审因素。</w:t>
            </w:r>
          </w:p>
        </w:tc>
      </w:tr>
    </w:tbl>
    <w:p w14:paraId="4065124B">
      <w:pPr>
        <w:keepNext w:val="0"/>
        <w:keepLines w:val="0"/>
        <w:adjustRightInd w:val="0"/>
        <w:snapToGrid w:val="0"/>
        <w:spacing w:before="156" w:beforeLines="50" w:after="156" w:afterLines="50" w:line="336" w:lineRule="auto"/>
        <w:jc w:val="left"/>
        <w:textAlignment w:val="baseline"/>
        <w:outlineLvl w:val="9"/>
        <w:rPr>
          <w:rFonts w:hint="eastAsia" w:ascii="宋体" w:hAnsi="宋体" w:cs="宋体"/>
          <w:b/>
          <w:bCs/>
          <w:color w:val="auto"/>
          <w:sz w:val="24"/>
          <w:highlight w:val="none"/>
        </w:rPr>
      </w:pPr>
    </w:p>
    <w:p w14:paraId="28E5A81B">
      <w:pPr>
        <w:pStyle w:val="3"/>
        <w:keepNext w:val="0"/>
        <w:keepLines w:val="0"/>
        <w:adjustRightInd w:val="0"/>
        <w:snapToGrid w:val="0"/>
        <w:spacing w:before="156" w:beforeLines="50" w:after="156" w:afterLines="50" w:line="336" w:lineRule="auto"/>
        <w:jc w:val="left"/>
        <w:textAlignment w:val="baseline"/>
        <w:rPr>
          <w:rFonts w:hint="eastAsia" w:ascii="宋体" w:hAnsi="宋体" w:cs="宋体"/>
          <w:b/>
          <w:bCs/>
          <w:color w:val="auto"/>
          <w:sz w:val="24"/>
          <w:highlight w:val="none"/>
        </w:rPr>
      </w:pPr>
      <w:r>
        <w:rPr>
          <w:rFonts w:hint="eastAsia" w:ascii="宋体" w:hAnsi="宋体" w:eastAsia="宋体" w:cs="宋体"/>
          <w:color w:val="auto"/>
          <w:sz w:val="24"/>
          <w:szCs w:val="24"/>
          <w:highlight w:val="none"/>
        </w:rPr>
        <w:t>1.总则</w:t>
      </w:r>
    </w:p>
    <w:p w14:paraId="22313859">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1.1适用范围</w:t>
      </w:r>
      <w:bookmarkEnd w:id="47"/>
      <w:bookmarkEnd w:id="48"/>
      <w:bookmarkEnd w:id="49"/>
      <w:bookmarkEnd w:id="50"/>
      <w:bookmarkEnd w:id="51"/>
    </w:p>
    <w:p w14:paraId="107924B7">
      <w:pPr>
        <w:adjustRightInd w:val="0"/>
        <w:snapToGrid w:val="0"/>
        <w:spacing w:line="336" w:lineRule="auto"/>
        <w:ind w:firstLine="480" w:firstLineChars="200"/>
        <w:rPr>
          <w:rFonts w:hint="eastAsia" w:ascii="宋体" w:hAnsi="宋体" w:cs="宋体"/>
          <w:color w:val="auto"/>
          <w:sz w:val="24"/>
          <w:highlight w:val="none"/>
        </w:rPr>
      </w:pPr>
      <w:bookmarkStart w:id="54" w:name="OLE_LINK4"/>
      <w:bookmarkStart w:id="55" w:name="_Toc359934561"/>
      <w:bookmarkStart w:id="56" w:name="_Toc303756366"/>
      <w:bookmarkStart w:id="57" w:name="_Toc301187580"/>
      <w:bookmarkStart w:id="58" w:name="_Toc451264410"/>
      <w:bookmarkStart w:id="59" w:name="_Toc448214651"/>
      <w:r>
        <w:rPr>
          <w:rFonts w:hint="eastAsia" w:ascii="宋体" w:hAnsi="宋体" w:cs="宋体"/>
          <w:color w:val="auto"/>
          <w:sz w:val="24"/>
          <w:highlight w:val="none"/>
          <w:lang w:eastAsia="zh-CN"/>
        </w:rPr>
        <w:t>询比文件</w:t>
      </w:r>
      <w:bookmarkEnd w:id="54"/>
      <w:r>
        <w:rPr>
          <w:rFonts w:hint="eastAsia" w:ascii="宋体" w:hAnsi="宋体" w:cs="宋体"/>
          <w:color w:val="auto"/>
          <w:sz w:val="24"/>
          <w:highlight w:val="none"/>
        </w:rPr>
        <w:t>适用于本次采购项目的采购行为，</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另有规定的从其规定。</w:t>
      </w:r>
    </w:p>
    <w:p w14:paraId="615EC8FD">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1.2定义</w:t>
      </w:r>
      <w:bookmarkEnd w:id="55"/>
      <w:bookmarkEnd w:id="56"/>
      <w:bookmarkEnd w:id="57"/>
      <w:bookmarkEnd w:id="58"/>
      <w:bookmarkEnd w:id="59"/>
    </w:p>
    <w:p w14:paraId="708C03A7">
      <w:pPr>
        <w:adjustRightInd w:val="0"/>
        <w:snapToGrid w:val="0"/>
        <w:spacing w:line="336" w:lineRule="auto"/>
        <w:ind w:firstLine="480" w:firstLineChars="200"/>
        <w:rPr>
          <w:rFonts w:hint="eastAsia" w:ascii="宋体" w:hAnsi="宋体" w:cs="宋体"/>
          <w:color w:val="auto"/>
          <w:sz w:val="24"/>
          <w:highlight w:val="none"/>
        </w:rPr>
      </w:pPr>
      <w:bookmarkStart w:id="60" w:name="_Toc301187581"/>
      <w:r>
        <w:rPr>
          <w:rFonts w:hint="eastAsia" w:ascii="宋体" w:hAnsi="宋体" w:cs="宋体"/>
          <w:color w:val="auto"/>
          <w:sz w:val="24"/>
          <w:highlight w:val="none"/>
        </w:rPr>
        <w:t>1.2.1采购人：</w:t>
      </w:r>
      <w:bookmarkEnd w:id="60"/>
      <w:r>
        <w:rPr>
          <w:rFonts w:hint="eastAsia" w:ascii="宋体" w:hAnsi="宋体" w:cs="宋体"/>
          <w:color w:val="auto"/>
          <w:sz w:val="24"/>
          <w:highlight w:val="none"/>
        </w:rPr>
        <w:t>见供应商须知前附表。</w:t>
      </w:r>
    </w:p>
    <w:p w14:paraId="0BD403B2">
      <w:pPr>
        <w:adjustRightInd w:val="0"/>
        <w:snapToGrid w:val="0"/>
        <w:spacing w:line="336" w:lineRule="auto"/>
        <w:ind w:firstLine="480" w:firstLineChars="200"/>
        <w:rPr>
          <w:rFonts w:hint="eastAsia" w:ascii="宋体" w:hAnsi="宋体" w:cs="宋体"/>
          <w:color w:val="auto"/>
          <w:sz w:val="24"/>
          <w:highlight w:val="none"/>
        </w:rPr>
      </w:pPr>
      <w:bookmarkStart w:id="61" w:name="_Toc301187583"/>
      <w:bookmarkStart w:id="62" w:name="_Toc499128553"/>
      <w:bookmarkStart w:id="63" w:name="_Toc359934562"/>
      <w:bookmarkStart w:id="64" w:name="_Toc301187591"/>
      <w:bookmarkStart w:id="65" w:name="_Toc31483"/>
      <w:bookmarkStart w:id="66" w:name="_Toc498327008"/>
      <w:bookmarkStart w:id="67" w:name="_Toc303756367"/>
      <w:bookmarkStart w:id="68" w:name="_Toc301187590"/>
      <w:r>
        <w:rPr>
          <w:rFonts w:hint="eastAsia" w:ascii="宋体" w:hAnsi="宋体" w:cs="宋体"/>
          <w:color w:val="auto"/>
          <w:sz w:val="24"/>
          <w:highlight w:val="none"/>
        </w:rPr>
        <w:t>1.2.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“供应商”系指按照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的规定参加并提交响应文件的自然人、法人或其他组织。</w:t>
      </w:r>
      <w:bookmarkEnd w:id="61"/>
    </w:p>
    <w:p w14:paraId="151A5458">
      <w:pPr>
        <w:adjustRightInd w:val="0"/>
        <w:snapToGrid w:val="0"/>
        <w:spacing w:line="336" w:lineRule="auto"/>
        <w:ind w:firstLine="480" w:firstLineChars="200"/>
        <w:rPr>
          <w:rFonts w:hint="eastAsia" w:ascii="宋体" w:hAnsi="宋体" w:cs="宋体"/>
          <w:color w:val="auto"/>
          <w:sz w:val="24"/>
          <w:highlight w:val="none"/>
        </w:rPr>
      </w:pPr>
      <w:bookmarkStart w:id="69" w:name="_Toc301187584"/>
      <w:r>
        <w:rPr>
          <w:rFonts w:hint="eastAsia" w:ascii="宋体" w:hAnsi="宋体" w:cs="宋体"/>
          <w:color w:val="auto"/>
          <w:sz w:val="24"/>
          <w:highlight w:val="none"/>
        </w:rPr>
        <w:t>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“法定代表人（负责人）”系指法人企业的法定代表人，或其他组织为法律、行政法规规定代表单位行使职权的主要负责人，或自然人本人。</w:t>
      </w:r>
    </w:p>
    <w:bookmarkEnd w:id="69"/>
    <w:p w14:paraId="209A67F1">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“供应商代表”系指法定代表人（负责人）或其授权的委托代理人。</w:t>
      </w:r>
    </w:p>
    <w:p w14:paraId="0FFB0353">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“合同”系指采购人与成交人双方签署的规定双方权利与义务的协议，以及所有附件、附录、</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和纸质响应文件所提到的构成合同的所有文件。</w:t>
      </w:r>
    </w:p>
    <w:p w14:paraId="603D747D">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“产品”系指供应商按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规定，最终向采购人提供本项目采购的产品（包括：虚拟产品），以及产品相关的配套设施、工具、手册及其他有关技术资料和材料等。</w:t>
      </w:r>
    </w:p>
    <w:p w14:paraId="063C4DAC">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“服务”系指供应商按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规定提供劳动形式满足采购人需求，包括劳动、运输、保管、包装、维修以及其他类似的附随义务。</w:t>
      </w:r>
    </w:p>
    <w:p w14:paraId="0494D055">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规定向采购人提供的服务和服务成果。</w:t>
      </w:r>
    </w:p>
    <w:p w14:paraId="51DA0925">
      <w:pPr>
        <w:adjustRightInd w:val="0"/>
        <w:snapToGrid w:val="0"/>
        <w:spacing w:line="336"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“响应文件”系指供应商提供纸质文件1正及U盘1份</w:t>
      </w:r>
      <w:r>
        <w:rPr>
          <w:rFonts w:hint="eastAsia" w:hAnsi="宋体" w:cs="宋体"/>
          <w:color w:val="auto"/>
          <w:sz w:val="24"/>
          <w:highlight w:val="none"/>
        </w:rPr>
        <w:t>（</w:t>
      </w:r>
      <w:bookmarkStart w:id="70" w:name="OLE_LINK3"/>
      <w:r>
        <w:rPr>
          <w:rFonts w:hint="eastAsia" w:hAnsi="宋体" w:cs="宋体"/>
          <w:b/>
          <w:bCs/>
          <w:color w:val="auto"/>
          <w:sz w:val="24"/>
          <w:highlight w:val="none"/>
        </w:rPr>
        <w:t>U盘内含响应文件正本签字盖章之后的PDF文件</w:t>
      </w:r>
      <w:bookmarkEnd w:id="70"/>
      <w:r>
        <w:rPr>
          <w:rFonts w:hint="eastAsia" w:hAnsi="宋体" w:cs="宋体"/>
          <w:color w:val="auto"/>
          <w:sz w:val="24"/>
          <w:highlight w:val="none"/>
        </w:rPr>
        <w:t>）</w:t>
      </w:r>
      <w:r>
        <w:rPr>
          <w:rFonts w:hint="eastAsia" w:ascii="宋体" w:hAnsi="宋体" w:cs="宋体"/>
          <w:color w:val="auto"/>
          <w:sz w:val="24"/>
          <w:highlight w:val="none"/>
        </w:rPr>
        <w:t>。</w:t>
      </w:r>
    </w:p>
    <w:p w14:paraId="18BA819E">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1.3资金来源</w:t>
      </w:r>
      <w:bookmarkEnd w:id="62"/>
      <w:bookmarkEnd w:id="63"/>
      <w:bookmarkEnd w:id="64"/>
      <w:bookmarkEnd w:id="65"/>
      <w:bookmarkEnd w:id="66"/>
      <w:bookmarkEnd w:id="67"/>
    </w:p>
    <w:p w14:paraId="6AFED7CD">
      <w:pPr>
        <w:adjustRightInd w:val="0"/>
        <w:snapToGrid w:val="0"/>
        <w:spacing w:line="336" w:lineRule="auto"/>
        <w:ind w:firstLine="480" w:firstLineChars="200"/>
        <w:rPr>
          <w:rFonts w:hint="eastAsia" w:ascii="宋体" w:hAnsi="宋体" w:cs="宋体"/>
          <w:color w:val="auto"/>
          <w:sz w:val="24"/>
          <w:highlight w:val="none"/>
        </w:rPr>
      </w:pPr>
      <w:bookmarkStart w:id="71" w:name="_Toc301187592"/>
      <w:r>
        <w:rPr>
          <w:rFonts w:hint="eastAsia" w:ascii="宋体" w:hAnsi="宋体" w:cs="宋体"/>
          <w:color w:val="auto"/>
          <w:sz w:val="24"/>
          <w:highlight w:val="none"/>
        </w:rPr>
        <w:t>见供应商须知前附表。</w:t>
      </w:r>
      <w:bookmarkEnd w:id="71"/>
    </w:p>
    <w:p w14:paraId="0DF6E2E9">
      <w:pPr>
        <w:spacing w:line="336" w:lineRule="auto"/>
        <w:jc w:val="left"/>
        <w:rPr>
          <w:rFonts w:hint="eastAsia" w:ascii="宋体" w:hAnsi="宋体" w:cs="宋体"/>
          <w:b/>
          <w:bCs/>
          <w:color w:val="auto"/>
          <w:sz w:val="24"/>
          <w:highlight w:val="none"/>
        </w:rPr>
      </w:pPr>
      <w:bookmarkStart w:id="72" w:name="_Toc498327009"/>
      <w:bookmarkStart w:id="73" w:name="_Toc499128554"/>
      <w:bookmarkStart w:id="74" w:name="_Toc32607"/>
      <w:r>
        <w:rPr>
          <w:rFonts w:hint="eastAsia" w:ascii="宋体" w:hAnsi="宋体" w:cs="宋体"/>
          <w:b/>
          <w:bCs/>
          <w:color w:val="auto"/>
          <w:sz w:val="24"/>
          <w:highlight w:val="none"/>
        </w:rPr>
        <w:t>1.4合格的</w:t>
      </w:r>
      <w:bookmarkEnd w:id="72"/>
      <w:bookmarkEnd w:id="73"/>
      <w:bookmarkEnd w:id="74"/>
      <w:r>
        <w:rPr>
          <w:rFonts w:hint="eastAsia" w:ascii="宋体" w:hAnsi="宋体" w:cs="宋体"/>
          <w:b/>
          <w:bCs/>
          <w:color w:val="auto"/>
          <w:sz w:val="24"/>
          <w:highlight w:val="none"/>
        </w:rPr>
        <w:t>供应商</w:t>
      </w:r>
    </w:p>
    <w:p w14:paraId="1AEBED7A">
      <w:pPr>
        <w:adjustRightInd w:val="0"/>
        <w:snapToGrid w:val="0"/>
        <w:spacing w:line="336" w:lineRule="auto"/>
        <w:ind w:firstLine="480" w:firstLineChars="200"/>
        <w:rPr>
          <w:rFonts w:hint="eastAsia" w:ascii="宋体" w:hAnsi="宋体" w:cs="宋体"/>
          <w:color w:val="auto"/>
          <w:sz w:val="24"/>
          <w:highlight w:val="none"/>
        </w:rPr>
      </w:pPr>
      <w:bookmarkStart w:id="75" w:name="_Toc301187594"/>
      <w:r>
        <w:rPr>
          <w:rFonts w:hint="eastAsia" w:ascii="宋体" w:hAnsi="宋体" w:cs="宋体"/>
          <w:color w:val="auto"/>
          <w:sz w:val="24"/>
          <w:highlight w:val="none"/>
        </w:rPr>
        <w:t>见</w:t>
      </w:r>
      <w:r>
        <w:rPr>
          <w:rFonts w:hint="eastAsia" w:ascii="宋体" w:hAnsi="宋体" w:cs="宋体"/>
          <w:color w:val="auto"/>
          <w:sz w:val="24"/>
          <w:highlight w:val="none"/>
          <w:lang w:val="en-US" w:eastAsia="zh-CN"/>
        </w:rPr>
        <w:t>公告</w:t>
      </w:r>
      <w:r>
        <w:rPr>
          <w:rFonts w:hint="eastAsia" w:ascii="宋体" w:hAnsi="宋体" w:cs="宋体"/>
          <w:color w:val="auto"/>
          <w:sz w:val="24"/>
          <w:highlight w:val="none"/>
        </w:rPr>
        <w:t>。</w:t>
      </w:r>
      <w:bookmarkEnd w:id="75"/>
    </w:p>
    <w:p w14:paraId="6F72F4EB">
      <w:pPr>
        <w:spacing w:line="336" w:lineRule="auto"/>
        <w:jc w:val="left"/>
        <w:rPr>
          <w:rFonts w:hint="eastAsia" w:ascii="宋体" w:hAnsi="宋体" w:cs="宋体"/>
          <w:b/>
          <w:bCs/>
          <w:color w:val="auto"/>
          <w:sz w:val="24"/>
          <w:highlight w:val="none"/>
        </w:rPr>
      </w:pPr>
      <w:bookmarkStart w:id="76" w:name="_Toc359934564"/>
      <w:bookmarkStart w:id="77" w:name="_Toc499128555"/>
      <w:bookmarkStart w:id="78" w:name="_Toc303756369"/>
      <w:bookmarkStart w:id="79" w:name="_Toc498327010"/>
      <w:bookmarkStart w:id="80" w:name="_Toc9353"/>
      <w:bookmarkStart w:id="81" w:name="_Toc301187595"/>
      <w:r>
        <w:rPr>
          <w:rFonts w:hint="eastAsia" w:ascii="宋体" w:hAnsi="宋体" w:cs="宋体"/>
          <w:b/>
          <w:bCs/>
          <w:color w:val="auto"/>
          <w:sz w:val="24"/>
          <w:highlight w:val="none"/>
        </w:rPr>
        <w:t>1.5联合体询</w:t>
      </w:r>
      <w:bookmarkEnd w:id="76"/>
      <w:bookmarkEnd w:id="77"/>
      <w:bookmarkEnd w:id="78"/>
      <w:bookmarkEnd w:id="79"/>
      <w:bookmarkEnd w:id="80"/>
      <w:bookmarkEnd w:id="81"/>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（不接受）</w:t>
      </w:r>
    </w:p>
    <w:p w14:paraId="0D420D46">
      <w:pPr>
        <w:spacing w:line="336" w:lineRule="auto"/>
        <w:jc w:val="left"/>
        <w:rPr>
          <w:rFonts w:hint="eastAsia" w:ascii="宋体" w:hAnsi="宋体" w:cs="宋体"/>
          <w:b/>
          <w:bCs/>
          <w:color w:val="auto"/>
          <w:sz w:val="24"/>
          <w:highlight w:val="none"/>
        </w:rPr>
      </w:pPr>
      <w:bookmarkStart w:id="82" w:name="_Toc498327011"/>
      <w:bookmarkStart w:id="83" w:name="_Toc301187597"/>
      <w:bookmarkStart w:id="84" w:name="_Toc499128556"/>
      <w:bookmarkStart w:id="85" w:name="_Toc30203"/>
      <w:bookmarkStart w:id="86" w:name="_Toc303756370"/>
      <w:bookmarkStart w:id="87" w:name="_Toc359934565"/>
      <w:r>
        <w:rPr>
          <w:rFonts w:hint="eastAsia" w:ascii="宋体" w:hAnsi="宋体" w:cs="宋体"/>
          <w:b/>
          <w:bCs/>
          <w:color w:val="auto"/>
          <w:sz w:val="24"/>
          <w:highlight w:val="none"/>
        </w:rPr>
        <w:t>1.6分包</w:t>
      </w:r>
      <w:bookmarkEnd w:id="82"/>
      <w:bookmarkEnd w:id="83"/>
      <w:bookmarkEnd w:id="84"/>
      <w:bookmarkEnd w:id="85"/>
      <w:bookmarkEnd w:id="86"/>
      <w:bookmarkEnd w:id="87"/>
    </w:p>
    <w:p w14:paraId="789519C8">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1.6.1分包：见供应商须知前附表。</w:t>
      </w:r>
    </w:p>
    <w:p w14:paraId="6CDCB73B">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1.6.2供应商根据询</w:t>
      </w:r>
      <w:r>
        <w:rPr>
          <w:rFonts w:hint="eastAsia" w:ascii="宋体" w:hAnsi="宋体" w:cs="宋体"/>
          <w:color w:val="auto"/>
          <w:sz w:val="24"/>
          <w:highlight w:val="none"/>
          <w:lang w:eastAsia="zh-CN"/>
        </w:rPr>
        <w:t>比文件</w:t>
      </w:r>
      <w:r>
        <w:rPr>
          <w:rFonts w:hint="eastAsia" w:ascii="宋体" w:hAnsi="宋体" w:cs="宋体"/>
          <w:color w:val="auto"/>
          <w:sz w:val="24"/>
          <w:highlight w:val="none"/>
        </w:rPr>
        <w:t>的规定和采购项目的实际情况，拟在成交后将成交项目的非主体、非关键性工作分包的，应当在响应文件中载明分包承担主体，分包承担主体应当具备相应资质条件且不得再次分包。</w:t>
      </w:r>
    </w:p>
    <w:p w14:paraId="20FEB83F">
      <w:pPr>
        <w:spacing w:line="336" w:lineRule="auto"/>
        <w:jc w:val="left"/>
        <w:rPr>
          <w:rFonts w:hint="eastAsia" w:ascii="宋体" w:hAnsi="宋体" w:cs="宋体"/>
          <w:b/>
          <w:bCs/>
          <w:color w:val="auto"/>
          <w:sz w:val="24"/>
          <w:highlight w:val="none"/>
        </w:rPr>
      </w:pPr>
      <w:bookmarkStart w:id="88" w:name="_Toc30468"/>
      <w:r>
        <w:rPr>
          <w:rFonts w:hint="eastAsia" w:ascii="宋体" w:hAnsi="宋体" w:cs="宋体"/>
          <w:b/>
          <w:bCs/>
          <w:color w:val="auto"/>
          <w:sz w:val="24"/>
          <w:highlight w:val="none"/>
        </w:rPr>
        <w:t>1.7</w:t>
      </w:r>
      <w:bookmarkEnd w:id="88"/>
      <w:r>
        <w:rPr>
          <w:rFonts w:hint="eastAsia" w:ascii="宋体" w:hAnsi="宋体" w:cs="宋体"/>
          <w:b/>
          <w:bCs/>
          <w:color w:val="auto"/>
          <w:sz w:val="24"/>
          <w:highlight w:val="none"/>
        </w:rPr>
        <w:t>询</w:t>
      </w:r>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费用</w:t>
      </w:r>
    </w:p>
    <w:bookmarkEnd w:id="68"/>
    <w:p w14:paraId="19862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89" w:name="_Toc359934567"/>
      <w:bookmarkStart w:id="90" w:name="_Toc301187601"/>
      <w:bookmarkStart w:id="91" w:name="_Toc303756372"/>
      <w:bookmarkStart w:id="92" w:name="_Toc13976"/>
      <w:bookmarkStart w:id="93" w:name="_Toc499128558"/>
      <w:bookmarkStart w:id="94" w:name="_Toc498327013"/>
      <w:bookmarkStart w:id="95" w:name="_Toc11069"/>
      <w:bookmarkStart w:id="96" w:name="_Toc451264414"/>
      <w:r>
        <w:rPr>
          <w:rFonts w:hint="eastAsia" w:ascii="宋体" w:hAnsi="宋体" w:cs="宋体"/>
          <w:color w:val="auto"/>
          <w:sz w:val="24"/>
          <w:highlight w:val="none"/>
        </w:rPr>
        <w:t>1.7.1不论询</w:t>
      </w:r>
      <w:r>
        <w:rPr>
          <w:rFonts w:hint="eastAsia" w:ascii="宋体" w:hAnsi="宋体" w:cs="宋体"/>
          <w:color w:val="auto"/>
          <w:sz w:val="24"/>
          <w:highlight w:val="none"/>
          <w:lang w:eastAsia="zh-CN"/>
        </w:rPr>
        <w:t>比</w:t>
      </w:r>
      <w:r>
        <w:rPr>
          <w:rFonts w:hint="eastAsia" w:ascii="宋体" w:hAnsi="宋体" w:cs="宋体"/>
          <w:color w:val="auto"/>
          <w:sz w:val="24"/>
          <w:highlight w:val="none"/>
        </w:rPr>
        <w:t>的结果如何（包括取消采购任务等情况），供应商均应自行承担所有与询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有关的全部费用。</w:t>
      </w:r>
    </w:p>
    <w:p w14:paraId="6122C593">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1.8响应文件的语言及计量</w:t>
      </w:r>
      <w:bookmarkEnd w:id="89"/>
      <w:bookmarkEnd w:id="90"/>
      <w:bookmarkEnd w:id="91"/>
      <w:bookmarkEnd w:id="92"/>
      <w:bookmarkEnd w:id="93"/>
      <w:bookmarkEnd w:id="94"/>
      <w:bookmarkEnd w:id="95"/>
    </w:p>
    <w:p w14:paraId="7BFBBD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97" w:name="_Toc301187602"/>
      <w:r>
        <w:rPr>
          <w:rFonts w:hint="eastAsia" w:ascii="宋体" w:hAnsi="宋体" w:cs="宋体"/>
          <w:color w:val="auto"/>
          <w:sz w:val="24"/>
          <w:highlight w:val="none"/>
        </w:rPr>
        <w:t>1.8.1</w:t>
      </w:r>
      <w:bookmarkEnd w:id="97"/>
      <w:bookmarkStart w:id="98" w:name="_Toc301187603"/>
      <w:r>
        <w:rPr>
          <w:rFonts w:hint="eastAsia" w:ascii="宋体" w:hAnsi="宋体" w:cs="宋体"/>
          <w:color w:val="auto"/>
          <w:sz w:val="24"/>
          <w:highlight w:val="none"/>
        </w:rPr>
        <w:t>响应文件以及供应商、采购人就有关</w:t>
      </w:r>
      <w:r>
        <w:rPr>
          <w:rFonts w:hint="eastAsia" w:ascii="宋体" w:hAnsi="宋体" w:cs="宋体"/>
          <w:color w:val="auto"/>
          <w:sz w:val="24"/>
          <w:highlight w:val="none"/>
          <w:lang w:eastAsia="zh-CN"/>
        </w:rPr>
        <w:t>询比</w:t>
      </w:r>
      <w:r>
        <w:rPr>
          <w:rFonts w:hint="eastAsia" w:ascii="宋体" w:hAnsi="宋体" w:cs="宋体"/>
          <w:color w:val="auto"/>
          <w:sz w:val="24"/>
          <w:highlight w:val="none"/>
        </w:rPr>
        <w:t>事宜的所有来往函电，应当以中文简体书写，除签名、盖章、专用名称等特殊情形外。</w:t>
      </w:r>
    </w:p>
    <w:p w14:paraId="43926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bookmarkEnd w:id="98"/>
      <w:r>
        <w:rPr>
          <w:rFonts w:hint="eastAsia" w:ascii="宋体" w:hAnsi="宋体" w:cs="宋体"/>
          <w:color w:val="auto"/>
          <w:sz w:val="24"/>
          <w:highlight w:val="none"/>
        </w:rPr>
        <w:t>计量单位，</w:t>
      </w:r>
      <w:bookmarkStart w:id="99" w:name="OLE_LINK10"/>
      <w:r>
        <w:rPr>
          <w:rFonts w:hint="eastAsia" w:ascii="宋体" w:hAnsi="宋体" w:cs="宋体"/>
          <w:color w:val="auto"/>
          <w:sz w:val="24"/>
          <w:highlight w:val="none"/>
          <w:lang w:eastAsia="zh-CN"/>
        </w:rPr>
        <w:t>询比文件</w:t>
      </w:r>
      <w:bookmarkEnd w:id="99"/>
      <w:r>
        <w:rPr>
          <w:rFonts w:hint="eastAsia" w:ascii="宋体" w:hAnsi="宋体" w:cs="宋体"/>
          <w:color w:val="auto"/>
          <w:sz w:val="24"/>
          <w:highlight w:val="none"/>
        </w:rPr>
        <w:t>已有明确规定的，使用</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规定的计量单位；</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没有规定的，应当采用中华人民共和国法定计量单位（货币单位：人民币）。</w:t>
      </w:r>
    </w:p>
    <w:p w14:paraId="661FA29B">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00" w:name="_Toc1544"/>
      <w:bookmarkStart w:id="101" w:name="_Toc25031"/>
      <w:bookmarkStart w:id="102" w:name="_Toc29208"/>
      <w:r>
        <w:rPr>
          <w:rFonts w:hint="eastAsia" w:ascii="宋体" w:hAnsi="宋体" w:eastAsia="宋体" w:cs="宋体"/>
          <w:color w:val="auto"/>
          <w:sz w:val="24"/>
          <w:szCs w:val="24"/>
          <w:highlight w:val="none"/>
        </w:rPr>
        <w:t>2.</w:t>
      </w:r>
      <w:bookmarkEnd w:id="96"/>
      <w:bookmarkEnd w:id="100"/>
      <w:bookmarkEnd w:id="101"/>
      <w:bookmarkEnd w:id="102"/>
      <w:r>
        <w:rPr>
          <w:rFonts w:hint="eastAsia" w:ascii="宋体" w:hAnsi="宋体" w:cs="宋体"/>
          <w:color w:val="auto"/>
          <w:sz w:val="24"/>
          <w:highlight w:val="none"/>
          <w:lang w:eastAsia="zh-CN"/>
        </w:rPr>
        <w:t>询比文件</w:t>
      </w:r>
    </w:p>
    <w:p w14:paraId="1FF627F8">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03" w:name="_Toc451264415"/>
      <w:r>
        <w:rPr>
          <w:rFonts w:hint="eastAsia" w:ascii="宋体" w:hAnsi="宋体" w:cs="宋体"/>
          <w:b/>
          <w:bCs/>
          <w:color w:val="auto"/>
          <w:sz w:val="24"/>
          <w:highlight w:val="none"/>
        </w:rPr>
        <w:t>2.1</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的构成</w:t>
      </w:r>
      <w:bookmarkEnd w:id="103"/>
    </w:p>
    <w:p w14:paraId="553BD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2.1.1本</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的内容由以下部分组成：</w:t>
      </w:r>
    </w:p>
    <w:p w14:paraId="6B12FDC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询比</w:t>
      </w:r>
      <w:r>
        <w:rPr>
          <w:rFonts w:hint="eastAsia" w:ascii="宋体" w:hAnsi="宋体" w:cs="宋体"/>
          <w:color w:val="auto"/>
          <w:sz w:val="24"/>
          <w:highlight w:val="none"/>
        </w:rPr>
        <w:t>公告；</w:t>
      </w:r>
    </w:p>
    <w:p w14:paraId="464EF8E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w:t>
      </w:r>
      <w:bookmarkStart w:id="104" w:name="OLE_LINK12"/>
      <w:r>
        <w:rPr>
          <w:rFonts w:hint="eastAsia" w:ascii="宋体" w:hAnsi="宋体" w:cs="宋体"/>
          <w:color w:val="auto"/>
          <w:sz w:val="24"/>
          <w:highlight w:val="none"/>
          <w:lang w:eastAsia="zh-CN"/>
        </w:rPr>
        <w:t>供应商须知</w:t>
      </w:r>
      <w:r>
        <w:rPr>
          <w:rFonts w:hint="eastAsia" w:ascii="宋体" w:hAnsi="宋体" w:cs="宋体"/>
          <w:color w:val="auto"/>
          <w:sz w:val="24"/>
          <w:highlight w:val="none"/>
        </w:rPr>
        <w:t>；</w:t>
      </w:r>
    </w:p>
    <w:bookmarkEnd w:id="104"/>
    <w:p w14:paraId="7B6F98C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评审办法</w:t>
      </w:r>
      <w:r>
        <w:rPr>
          <w:rFonts w:hint="eastAsia" w:ascii="宋体" w:hAnsi="宋体" w:cs="宋体"/>
          <w:color w:val="auto"/>
          <w:sz w:val="24"/>
          <w:highlight w:val="none"/>
        </w:rPr>
        <w:t>；</w:t>
      </w:r>
    </w:p>
    <w:p w14:paraId="6351392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bookmarkStart w:id="105" w:name="OLE_LINK11"/>
      <w:r>
        <w:rPr>
          <w:rFonts w:hint="eastAsia" w:ascii="宋体" w:hAnsi="宋体" w:cs="宋体"/>
          <w:color w:val="auto"/>
          <w:sz w:val="24"/>
          <w:highlight w:val="none"/>
          <w:lang w:eastAsia="zh-CN"/>
        </w:rPr>
        <w:t>合同模版</w:t>
      </w:r>
      <w:r>
        <w:rPr>
          <w:rFonts w:hint="eastAsia" w:ascii="宋体" w:hAnsi="宋体" w:cs="宋体"/>
          <w:color w:val="auto"/>
          <w:sz w:val="24"/>
          <w:highlight w:val="none"/>
        </w:rPr>
        <w:t>；</w:t>
      </w:r>
      <w:bookmarkEnd w:id="105"/>
    </w:p>
    <w:p w14:paraId="4E6D537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采购需求</w:t>
      </w:r>
      <w:r>
        <w:rPr>
          <w:rFonts w:hint="eastAsia" w:ascii="宋体" w:hAnsi="宋体" w:cs="宋体"/>
          <w:color w:val="auto"/>
          <w:sz w:val="24"/>
          <w:highlight w:val="none"/>
        </w:rPr>
        <w:t>；</w:t>
      </w:r>
    </w:p>
    <w:p w14:paraId="3FB2A03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响应文件格式；</w:t>
      </w:r>
    </w:p>
    <w:p w14:paraId="343FFD14">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06" w:name="_Toc7772"/>
      <w:bookmarkStart w:id="107" w:name="_Toc498327023"/>
      <w:bookmarkStart w:id="108" w:name="_Toc499128568"/>
      <w:bookmarkStart w:id="109" w:name="_Toc25062"/>
      <w:bookmarkStart w:id="110" w:name="_Toc451264416"/>
      <w:bookmarkStart w:id="111" w:name="_Toc6086"/>
      <w:bookmarkStart w:id="112" w:name="_Toc30375"/>
      <w:bookmarkStart w:id="113" w:name="_Toc24948"/>
      <w:r>
        <w:rPr>
          <w:rFonts w:hint="eastAsia" w:ascii="宋体" w:hAnsi="宋体" w:eastAsia="宋体" w:cs="宋体"/>
          <w:color w:val="auto"/>
          <w:sz w:val="24"/>
          <w:szCs w:val="24"/>
          <w:highlight w:val="none"/>
        </w:rPr>
        <w:t>3</w:t>
      </w:r>
      <w:bookmarkEnd w:id="106"/>
      <w:bookmarkEnd w:id="107"/>
      <w:bookmarkEnd w:id="108"/>
      <w:bookmarkEnd w:id="109"/>
      <w:bookmarkEnd w:id="110"/>
      <w:bookmarkStart w:id="114" w:name="_Toc451264417"/>
      <w:r>
        <w:rPr>
          <w:rFonts w:hint="eastAsia" w:ascii="宋体" w:hAnsi="宋体" w:eastAsia="宋体" w:cs="宋体"/>
          <w:color w:val="auto"/>
          <w:sz w:val="24"/>
          <w:szCs w:val="24"/>
          <w:highlight w:val="none"/>
        </w:rPr>
        <w:t>.响应文件</w:t>
      </w:r>
      <w:bookmarkEnd w:id="111"/>
      <w:bookmarkEnd w:id="112"/>
      <w:bookmarkEnd w:id="113"/>
    </w:p>
    <w:p w14:paraId="312F8D0E">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3.1响应文件形式及效力</w:t>
      </w:r>
    </w:p>
    <w:p w14:paraId="3F689E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3.1.1响应文件形式：纸质响应文件1正及U盘1份。</w:t>
      </w:r>
    </w:p>
    <w:p w14:paraId="142A8D0F">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3.2</w:t>
      </w:r>
      <w:bookmarkStart w:id="115" w:name="_Toc301187636"/>
      <w:r>
        <w:rPr>
          <w:rFonts w:hint="eastAsia" w:ascii="宋体" w:hAnsi="宋体" w:cs="宋体"/>
          <w:b/>
          <w:bCs/>
          <w:color w:val="auto"/>
          <w:sz w:val="24"/>
          <w:highlight w:val="none"/>
        </w:rPr>
        <w:t>响应文件内容的组成</w:t>
      </w:r>
    </w:p>
    <w:p w14:paraId="6FBF79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3.2.1响应文件由资格审查文件、资信及商务文件、报价文件三部分组成。</w:t>
      </w:r>
    </w:p>
    <w:p w14:paraId="4E972DB7">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w:t>
      </w:r>
      <w:bookmarkEnd w:id="115"/>
      <w:r>
        <w:rPr>
          <w:rFonts w:hint="eastAsia" w:ascii="宋体" w:hAnsi="宋体" w:cs="宋体"/>
          <w:b/>
          <w:bCs/>
          <w:color w:val="auto"/>
          <w:sz w:val="24"/>
          <w:highlight w:val="none"/>
        </w:rPr>
        <w:t>3资格审查文件的组成</w:t>
      </w:r>
    </w:p>
    <w:p w14:paraId="106DCE0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16" w:name="_Toc301187634"/>
      <w:r>
        <w:rPr>
          <w:rFonts w:hint="eastAsia" w:ascii="宋体" w:hAnsi="宋体" w:cs="宋体"/>
          <w:color w:val="auto"/>
          <w:sz w:val="24"/>
          <w:highlight w:val="none"/>
        </w:rPr>
        <w:t>3.3.1资格审查文件的组成：</w:t>
      </w:r>
      <w:bookmarkStart w:id="117" w:name="OLE_LINK19"/>
      <w:r>
        <w:rPr>
          <w:rFonts w:hint="eastAsia" w:ascii="宋体" w:hAnsi="宋体" w:cs="宋体"/>
          <w:color w:val="auto"/>
          <w:sz w:val="24"/>
          <w:highlight w:val="none"/>
        </w:rPr>
        <w:t>见</w:t>
      </w:r>
      <w:bookmarkEnd w:id="116"/>
      <w:r>
        <w:rPr>
          <w:rFonts w:hint="eastAsia" w:ascii="宋体" w:hAnsi="宋体" w:cs="宋体"/>
          <w:color w:val="auto"/>
          <w:sz w:val="24"/>
          <w:highlight w:val="none"/>
          <w:lang w:eastAsia="zh-CN"/>
        </w:rPr>
        <w:t>第六章响应文件格式</w:t>
      </w:r>
      <w:bookmarkEnd w:id="117"/>
      <w:r>
        <w:rPr>
          <w:rFonts w:hint="eastAsia" w:ascii="宋体" w:hAnsi="宋体" w:cs="宋体"/>
          <w:color w:val="auto"/>
          <w:sz w:val="24"/>
          <w:highlight w:val="none"/>
        </w:rPr>
        <w:t>。</w:t>
      </w:r>
    </w:p>
    <w:p w14:paraId="721FC49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3.3.2联合体询</w:t>
      </w:r>
      <w:r>
        <w:rPr>
          <w:rFonts w:hint="eastAsia" w:ascii="宋体" w:hAnsi="宋体" w:cs="宋体"/>
          <w:color w:val="auto"/>
          <w:sz w:val="24"/>
          <w:highlight w:val="none"/>
          <w:lang w:eastAsia="zh-CN"/>
        </w:rPr>
        <w:t>比</w:t>
      </w:r>
      <w:r>
        <w:rPr>
          <w:rFonts w:hint="eastAsia" w:ascii="宋体" w:hAnsi="宋体" w:cs="宋体"/>
          <w:color w:val="auto"/>
          <w:sz w:val="24"/>
          <w:highlight w:val="none"/>
        </w:rPr>
        <w:t>的各方供应商必须按照本条要求提供各自的资格审查证明文件。</w:t>
      </w:r>
    </w:p>
    <w:p w14:paraId="578E6B49">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3.4资信及商务文件的组成</w:t>
      </w:r>
    </w:p>
    <w:p w14:paraId="5CC9DB8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18" w:name="_Toc301187638"/>
      <w:r>
        <w:rPr>
          <w:rFonts w:hint="eastAsia" w:ascii="宋体" w:hAnsi="宋体" w:cs="宋体"/>
          <w:color w:val="auto"/>
          <w:sz w:val="24"/>
          <w:highlight w:val="none"/>
        </w:rPr>
        <w:t>3.4.1资信及商务文件的组成：</w:t>
      </w:r>
      <w:bookmarkEnd w:id="118"/>
      <w:r>
        <w:rPr>
          <w:rFonts w:hint="eastAsia" w:ascii="宋体" w:hAnsi="宋体" w:cs="宋体"/>
          <w:color w:val="auto"/>
          <w:sz w:val="24"/>
          <w:highlight w:val="none"/>
        </w:rPr>
        <w:t>见</w:t>
      </w:r>
      <w:r>
        <w:rPr>
          <w:rFonts w:hint="eastAsia" w:ascii="宋体" w:hAnsi="宋体" w:cs="宋体"/>
          <w:color w:val="auto"/>
          <w:sz w:val="24"/>
          <w:highlight w:val="none"/>
          <w:lang w:eastAsia="zh-CN"/>
        </w:rPr>
        <w:t>第六章响应文件格式</w:t>
      </w:r>
      <w:r>
        <w:rPr>
          <w:rFonts w:hint="eastAsia" w:ascii="宋体" w:hAnsi="宋体" w:cs="宋体"/>
          <w:color w:val="auto"/>
          <w:sz w:val="24"/>
          <w:highlight w:val="none"/>
        </w:rPr>
        <w:t>。</w:t>
      </w:r>
    </w:p>
    <w:p w14:paraId="356EAAEE">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19" w:name="_Toc499128572"/>
      <w:bookmarkStart w:id="120" w:name="_Toc359934578"/>
      <w:bookmarkStart w:id="121" w:name="_Toc498327027"/>
      <w:bookmarkStart w:id="122" w:name="_Toc14301"/>
      <w:bookmarkStart w:id="123" w:name="_Toc301187637"/>
      <w:bookmarkStart w:id="124" w:name="_Toc303756383"/>
      <w:r>
        <w:rPr>
          <w:rFonts w:hint="eastAsia" w:ascii="宋体" w:hAnsi="宋体" w:cs="宋体"/>
          <w:b/>
          <w:bCs/>
          <w:color w:val="auto"/>
          <w:sz w:val="24"/>
          <w:highlight w:val="none"/>
        </w:rPr>
        <w:t>3.5报价文件的组成</w:t>
      </w:r>
      <w:bookmarkEnd w:id="119"/>
      <w:bookmarkEnd w:id="120"/>
      <w:bookmarkEnd w:id="121"/>
      <w:bookmarkEnd w:id="122"/>
      <w:bookmarkEnd w:id="123"/>
      <w:bookmarkEnd w:id="124"/>
    </w:p>
    <w:p w14:paraId="17453032">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3.5.1报价文件的组成：见</w:t>
      </w:r>
      <w:r>
        <w:rPr>
          <w:rFonts w:hint="eastAsia" w:ascii="宋体" w:hAnsi="宋体" w:cs="宋体"/>
          <w:color w:val="auto"/>
          <w:sz w:val="24"/>
          <w:highlight w:val="none"/>
          <w:lang w:eastAsia="zh-CN"/>
        </w:rPr>
        <w:t>第六章响应文件格式</w:t>
      </w:r>
      <w:r>
        <w:rPr>
          <w:rFonts w:hint="eastAsia" w:ascii="宋体" w:hAnsi="宋体" w:cs="宋体"/>
          <w:color w:val="auto"/>
          <w:sz w:val="24"/>
          <w:highlight w:val="none"/>
        </w:rPr>
        <w:t>。</w:t>
      </w:r>
    </w:p>
    <w:p w14:paraId="28131A6D">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25" w:name="_Toc359934575"/>
      <w:bookmarkStart w:id="126" w:name="_Toc303756380"/>
      <w:bookmarkStart w:id="127" w:name="_Toc3155"/>
      <w:bookmarkStart w:id="128" w:name="_Toc498327031"/>
      <w:bookmarkStart w:id="129" w:name="_Toc3517"/>
      <w:bookmarkStart w:id="130" w:name="_Toc4143"/>
      <w:bookmarkStart w:id="131" w:name="_Toc301187631"/>
      <w:bookmarkStart w:id="132" w:name="_Toc14736"/>
      <w:bookmarkStart w:id="133" w:name="_Toc14995"/>
      <w:bookmarkStart w:id="134" w:name="_Toc499128576"/>
      <w:r>
        <w:rPr>
          <w:rFonts w:hint="eastAsia" w:ascii="宋体" w:hAnsi="宋体" w:eastAsia="宋体" w:cs="宋体"/>
          <w:color w:val="auto"/>
          <w:sz w:val="24"/>
          <w:szCs w:val="24"/>
          <w:highlight w:val="none"/>
        </w:rPr>
        <w:t>4.响应文件的编制</w:t>
      </w:r>
      <w:bookmarkEnd w:id="125"/>
      <w:bookmarkEnd w:id="126"/>
      <w:bookmarkEnd w:id="127"/>
      <w:bookmarkEnd w:id="128"/>
      <w:bookmarkEnd w:id="129"/>
      <w:bookmarkEnd w:id="130"/>
      <w:bookmarkEnd w:id="131"/>
      <w:bookmarkEnd w:id="132"/>
      <w:bookmarkEnd w:id="133"/>
      <w:bookmarkEnd w:id="134"/>
    </w:p>
    <w:p w14:paraId="4EEDC6CD">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4.1响应文件的编制要求</w:t>
      </w:r>
      <w:bookmarkEnd w:id="114"/>
    </w:p>
    <w:p w14:paraId="537C1229">
      <w:pPr>
        <w:spacing w:line="360" w:lineRule="auto"/>
        <w:ind w:firstLine="480" w:firstLineChars="200"/>
        <w:rPr>
          <w:rFonts w:hint="eastAsia" w:ascii="宋体" w:hAnsi="宋体" w:cs="宋体"/>
          <w:color w:val="auto"/>
          <w:sz w:val="24"/>
          <w:highlight w:val="none"/>
        </w:rPr>
      </w:pPr>
      <w:bookmarkStart w:id="135" w:name="_Toc498327033"/>
      <w:bookmarkStart w:id="136" w:name="_Toc22256"/>
      <w:bookmarkStart w:id="137" w:name="_Toc499128578"/>
      <w:bookmarkStart w:id="138" w:name="_Toc359934580"/>
      <w:r>
        <w:rPr>
          <w:rFonts w:hint="eastAsia" w:ascii="宋体" w:hAnsi="宋体" w:cs="宋体"/>
          <w:color w:val="auto"/>
          <w:sz w:val="24"/>
          <w:highlight w:val="none"/>
        </w:rPr>
        <w:t>4.1.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供应商应按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的要求提供相关资料，并对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中提出的所有内容要求给予明确响应，应当保证响应文件的准确、真实、明确。</w:t>
      </w:r>
      <w:r>
        <w:rPr>
          <w:rFonts w:hint="eastAsia" w:ascii="宋体" w:hAnsi="宋体" w:cs="宋体"/>
          <w:b/>
          <w:bCs/>
          <w:color w:val="auto"/>
          <w:sz w:val="24"/>
          <w:highlight w:val="none"/>
        </w:rPr>
        <w:t>响应文件响应内容对询</w:t>
      </w:r>
      <w:r>
        <w:rPr>
          <w:rFonts w:hint="eastAsia" w:ascii="宋体" w:hAnsi="宋体" w:cs="宋体"/>
          <w:b/>
          <w:bCs/>
          <w:color w:val="auto"/>
          <w:sz w:val="24"/>
          <w:highlight w:val="none"/>
          <w:lang w:eastAsia="zh-CN"/>
        </w:rPr>
        <w:t>比文件</w:t>
      </w:r>
      <w:r>
        <w:rPr>
          <w:rFonts w:hint="eastAsia" w:ascii="宋体" w:hAnsi="宋体" w:cs="宋体"/>
          <w:b/>
          <w:bCs/>
          <w:color w:val="auto"/>
          <w:sz w:val="24"/>
          <w:highlight w:val="none"/>
        </w:rPr>
        <w:t>要求如有偏离均应填写偏离表，如不填写，</w:t>
      </w:r>
      <w:r>
        <w:rPr>
          <w:rFonts w:hint="eastAsia" w:ascii="宋体" w:hAnsi="宋体" w:cs="宋体"/>
          <w:b/>
          <w:bCs/>
          <w:color w:val="auto"/>
          <w:sz w:val="24"/>
          <w:highlight w:val="none"/>
          <w:lang w:eastAsia="zh-CN"/>
        </w:rPr>
        <w:t>评审小组</w:t>
      </w:r>
      <w:r>
        <w:rPr>
          <w:rFonts w:hint="eastAsia" w:ascii="宋体" w:hAnsi="宋体" w:cs="宋体"/>
          <w:b/>
          <w:bCs/>
          <w:color w:val="auto"/>
          <w:sz w:val="24"/>
          <w:highlight w:val="none"/>
        </w:rPr>
        <w:t>有权视作响应文件不完全响应</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w:t>
      </w:r>
    </w:p>
    <w:p w14:paraId="46911B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响应文件编制时应有正确的索引目录及连续页码标注。</w:t>
      </w:r>
    </w:p>
    <w:p w14:paraId="4EEC34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响应文件须清晰可辨，因模糊不清所引起的后果由供应商自行负责。</w:t>
      </w:r>
    </w:p>
    <w:p w14:paraId="4F77F34A">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4.2响应文件的格式</w:t>
      </w:r>
      <w:bookmarkEnd w:id="135"/>
      <w:bookmarkEnd w:id="136"/>
      <w:bookmarkEnd w:id="137"/>
      <w:bookmarkEnd w:id="138"/>
    </w:p>
    <w:p w14:paraId="7F5305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4.2.1响应文件格式见“第</w:t>
      </w:r>
      <w:r>
        <w:rPr>
          <w:rFonts w:hint="eastAsia" w:ascii="宋体" w:hAnsi="宋体" w:cs="宋体"/>
          <w:color w:val="auto"/>
          <w:sz w:val="24"/>
          <w:highlight w:val="none"/>
          <w:lang w:eastAsia="zh-CN"/>
        </w:rPr>
        <w:t>六</w:t>
      </w:r>
      <w:r>
        <w:rPr>
          <w:rFonts w:hint="eastAsia" w:ascii="宋体" w:hAnsi="宋体" w:cs="宋体"/>
          <w:color w:val="auto"/>
          <w:sz w:val="24"/>
          <w:highlight w:val="none"/>
        </w:rPr>
        <w:t>章响应文件格式”，响应文件应当按照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已提供的格式填写，无格式的自行设计。</w:t>
      </w:r>
    </w:p>
    <w:p w14:paraId="14821C35">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4.2.2 对于没有格式要求的由供应商自行编写。</w:t>
      </w:r>
    </w:p>
    <w:p w14:paraId="0BC0627D">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4.2.3响应文件电子版为纸质响应文件正本签字盖章扫描后PDF格式存入U盘中。</w:t>
      </w:r>
    </w:p>
    <w:p w14:paraId="67D0D26A">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4.3响应文件的有效期</w:t>
      </w:r>
    </w:p>
    <w:p w14:paraId="54C8F904">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bookmarkStart w:id="139" w:name="_Toc301187640"/>
      <w:r>
        <w:rPr>
          <w:rFonts w:hint="eastAsia" w:ascii="宋体" w:hAnsi="宋体" w:cs="宋体"/>
          <w:color w:val="auto"/>
          <w:sz w:val="24"/>
          <w:highlight w:val="none"/>
        </w:rPr>
        <w:t>4.3.1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有效期：见供应商须知前附表。询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有效期从提交响应文件的截止之日起算。响应文件中承诺的</w:t>
      </w:r>
      <w:r>
        <w:rPr>
          <w:rFonts w:hint="eastAsia" w:ascii="宋体" w:hAnsi="宋体" w:cs="宋体"/>
          <w:color w:val="auto"/>
          <w:sz w:val="24"/>
          <w:highlight w:val="none"/>
          <w:lang w:eastAsia="zh-CN"/>
        </w:rPr>
        <w:t>询比</w:t>
      </w:r>
      <w:r>
        <w:rPr>
          <w:rFonts w:hint="eastAsia" w:ascii="宋体" w:hAnsi="宋体" w:cs="宋体"/>
          <w:color w:val="auto"/>
          <w:sz w:val="24"/>
          <w:highlight w:val="none"/>
        </w:rPr>
        <w:t>有效期应当不少于</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中载明的询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有效期。</w:t>
      </w:r>
      <w:bookmarkEnd w:id="139"/>
    </w:p>
    <w:p w14:paraId="0320C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40" w:name="_Toc301187641"/>
      <w:r>
        <w:rPr>
          <w:rFonts w:hint="eastAsia" w:ascii="宋体" w:hAnsi="宋体" w:cs="宋体"/>
          <w:color w:val="auto"/>
          <w:sz w:val="24"/>
          <w:highlight w:val="none"/>
        </w:rPr>
        <w:t>4.3.2在特殊情况下，采购人可与供应商协商延长响应文件的有效期，这种要求和答复均以书面形式进行。</w:t>
      </w:r>
      <w:bookmarkEnd w:id="140"/>
    </w:p>
    <w:p w14:paraId="4A7895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41" w:name="_Toc301187642"/>
      <w:r>
        <w:rPr>
          <w:rFonts w:hint="eastAsia" w:ascii="宋体" w:hAnsi="宋体" w:cs="宋体"/>
          <w:color w:val="auto"/>
          <w:sz w:val="24"/>
          <w:highlight w:val="none"/>
        </w:rPr>
        <w:t>4.3.3</w:t>
      </w:r>
      <w:bookmarkEnd w:id="141"/>
      <w:r>
        <w:rPr>
          <w:rFonts w:hint="eastAsia" w:ascii="宋体" w:hAnsi="宋体" w:cs="宋体"/>
          <w:color w:val="auto"/>
          <w:sz w:val="24"/>
          <w:highlight w:val="none"/>
        </w:rPr>
        <w:t>供应商可拒绝接受延期要求，同意延长有效期的供应商不能修改响应文件。</w:t>
      </w:r>
      <w:bookmarkStart w:id="142" w:name="_Toc451264418"/>
    </w:p>
    <w:bookmarkEnd w:id="142"/>
    <w:p w14:paraId="603FE1F6">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43" w:name="_Toc451264420"/>
      <w:bookmarkStart w:id="144" w:name="_Toc17905"/>
      <w:bookmarkStart w:id="145" w:name="_Toc10130"/>
      <w:bookmarkStart w:id="146" w:name="_Toc16652"/>
      <w:r>
        <w:rPr>
          <w:rFonts w:hint="eastAsia" w:ascii="宋体" w:hAnsi="宋体" w:eastAsia="宋体" w:cs="宋体"/>
          <w:color w:val="auto"/>
          <w:sz w:val="24"/>
          <w:szCs w:val="24"/>
          <w:highlight w:val="none"/>
        </w:rPr>
        <w:t>5.</w:t>
      </w:r>
      <w:bookmarkEnd w:id="143"/>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报价</w:t>
      </w:r>
      <w:bookmarkEnd w:id="144"/>
      <w:bookmarkEnd w:id="145"/>
      <w:bookmarkEnd w:id="146"/>
      <w:r>
        <w:rPr>
          <w:rFonts w:hint="eastAsia" w:ascii="宋体" w:hAnsi="宋体" w:eastAsia="宋体" w:cs="宋体"/>
          <w:color w:val="auto"/>
          <w:sz w:val="24"/>
          <w:szCs w:val="24"/>
          <w:highlight w:val="none"/>
        </w:rPr>
        <w:t xml:space="preserve"> </w:t>
      </w:r>
    </w:p>
    <w:p w14:paraId="1ACEEF1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cs="宋体"/>
          <w:b/>
          <w:bCs/>
          <w:color w:val="auto"/>
          <w:sz w:val="24"/>
          <w:highlight w:val="none"/>
        </w:rPr>
      </w:pPr>
      <w:r>
        <w:rPr>
          <w:rFonts w:hint="eastAsia" w:ascii="宋体" w:hAnsi="宋体" w:cs="宋体"/>
          <w:color w:val="auto"/>
          <w:sz w:val="24"/>
          <w:highlight w:val="none"/>
        </w:rPr>
        <w:t>5.1报价应当按照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中相关格式填写。</w:t>
      </w:r>
    </w:p>
    <w:p w14:paraId="0193EB8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cs="宋体"/>
          <w:color w:val="auto"/>
          <w:kern w:val="0"/>
          <w:sz w:val="24"/>
          <w:highlight w:val="none"/>
        </w:rPr>
      </w:pPr>
      <w:r>
        <w:rPr>
          <w:rFonts w:hint="eastAsia" w:ascii="宋体" w:hAnsi="宋体" w:cs="宋体"/>
          <w:b/>
          <w:bCs/>
          <w:color w:val="auto"/>
          <w:sz w:val="24"/>
          <w:highlight w:val="none"/>
        </w:rPr>
        <w:t>▲5.2供应商报价是履行合同的最终价格。本项目以人民币形式进行报价，报价应包括完成本项目的以下（但不限于以下） 费用如：采样费、样品测试费、监测数据、资料费、燃油费、通讯费、规费、保管、 保险、税金、招标代理服务费等所发生的全部费用。除采购内容变更允许调整费用外，其余费用一律不作调整。任何有选择性的报价将不予接受，只允许有一个报价。供应商在报价时应充分考虑各种风险因素，凡供应商漏项、漏报均认为已包含在总报价中，结算时不再调整</w:t>
      </w:r>
      <w:r>
        <w:rPr>
          <w:rFonts w:hint="eastAsia" w:ascii="宋体" w:hAnsi="宋体" w:cs="宋体"/>
          <w:color w:val="auto"/>
          <w:kern w:val="0"/>
          <w:sz w:val="24"/>
          <w:highlight w:val="none"/>
        </w:rPr>
        <w:t>。</w:t>
      </w:r>
    </w:p>
    <w:p w14:paraId="4C91511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▲5.3供应商报价不得超过预算金额，否则作无效标处理。</w:t>
      </w:r>
    </w:p>
    <w:p w14:paraId="39B4735E">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cs="宋体"/>
          <w:b/>
          <w:bCs/>
          <w:color w:val="auto"/>
          <w:sz w:val="24"/>
          <w:highlight w:val="none"/>
        </w:rPr>
      </w:pPr>
      <w:bookmarkStart w:id="147" w:name="_Toc498327036"/>
      <w:bookmarkStart w:id="148" w:name="_Toc2163"/>
      <w:bookmarkStart w:id="149" w:name="_Toc301187644"/>
      <w:bookmarkStart w:id="150" w:name="_Toc359934582"/>
      <w:bookmarkStart w:id="151" w:name="_Toc499128581"/>
      <w:bookmarkStart w:id="152" w:name="_Toc303756385"/>
      <w:r>
        <w:rPr>
          <w:rFonts w:hint="eastAsia" w:ascii="宋体" w:hAnsi="宋体" w:cs="宋体"/>
          <w:b/>
          <w:bCs/>
          <w:color w:val="auto"/>
          <w:sz w:val="24"/>
          <w:highlight w:val="none"/>
        </w:rPr>
        <w:t>5.</w:t>
      </w:r>
      <w:bookmarkEnd w:id="147"/>
      <w:bookmarkEnd w:id="148"/>
      <w:bookmarkEnd w:id="149"/>
      <w:bookmarkEnd w:id="150"/>
      <w:bookmarkEnd w:id="151"/>
      <w:bookmarkEnd w:id="152"/>
      <w:bookmarkStart w:id="153" w:name="_Toc359934584"/>
      <w:bookmarkStart w:id="154" w:name="_Toc303756387"/>
      <w:bookmarkStart w:id="155" w:name="_Toc301187663"/>
      <w:bookmarkStart w:id="156" w:name="_Toc499128582"/>
      <w:bookmarkStart w:id="157" w:name="_Toc498327037"/>
      <w:bookmarkStart w:id="158" w:name="_Toc11304"/>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响应文件的份数</w:t>
      </w:r>
      <w:bookmarkEnd w:id="153"/>
      <w:bookmarkEnd w:id="154"/>
      <w:bookmarkEnd w:id="155"/>
      <w:r>
        <w:rPr>
          <w:rFonts w:hint="eastAsia" w:ascii="宋体" w:hAnsi="宋体" w:cs="宋体"/>
          <w:b/>
          <w:bCs/>
          <w:color w:val="auto"/>
          <w:sz w:val="24"/>
          <w:highlight w:val="none"/>
        </w:rPr>
        <w:t>和签署</w:t>
      </w:r>
      <w:bookmarkEnd w:id="156"/>
      <w:bookmarkEnd w:id="157"/>
      <w:bookmarkEnd w:id="158"/>
    </w:p>
    <w:p w14:paraId="303581B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bookmarkStart w:id="159" w:name="_Toc301187668"/>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.1响应文件的份数：见供应商须知前附表。</w:t>
      </w:r>
    </w:p>
    <w:p w14:paraId="77E2BD37">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b/>
          <w:bCs/>
          <w:color w:val="auto"/>
          <w:sz w:val="24"/>
          <w:highlight w:val="none"/>
        </w:rPr>
        <w:t>响应文件所有加盖单位公章。</w:t>
      </w:r>
    </w:p>
    <w:bookmarkEnd w:id="159"/>
    <w:p w14:paraId="29396BF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cs="宋体"/>
          <w:b/>
          <w:bCs/>
          <w:color w:val="auto"/>
          <w:sz w:val="24"/>
          <w:highlight w:val="none"/>
        </w:rPr>
      </w:pPr>
      <w:bookmarkStart w:id="160" w:name="_Toc498327038"/>
      <w:bookmarkStart w:id="161" w:name="_Toc359934585"/>
      <w:bookmarkStart w:id="162" w:name="_Toc301187669"/>
      <w:bookmarkStart w:id="163" w:name="_Toc303756388"/>
      <w:bookmarkStart w:id="164" w:name="_Toc31581"/>
      <w:bookmarkStart w:id="165" w:name="_Toc499128583"/>
      <w:bookmarkStart w:id="166" w:name="_Toc15362"/>
      <w:bookmarkStart w:id="167" w:name="_Toc11829"/>
      <w:bookmarkStart w:id="168" w:name="_Toc21514"/>
      <w:bookmarkStart w:id="169" w:name="_Toc25669"/>
      <w:bookmarkStart w:id="170" w:name="_Toc10409"/>
      <w:bookmarkStart w:id="171" w:name="_Toc30457"/>
      <w:bookmarkStart w:id="172" w:name="_Toc16213"/>
      <w:bookmarkStart w:id="173" w:name="_Toc19798"/>
      <w:r>
        <w:rPr>
          <w:rFonts w:hint="eastAsia" w:ascii="宋体" w:hAnsi="宋体" w:cs="宋体"/>
          <w:b/>
          <w:bCs/>
          <w:color w:val="auto"/>
          <w:sz w:val="24"/>
          <w:highlight w:val="none"/>
        </w:rPr>
        <w:t>6.响应文件的</w:t>
      </w:r>
      <w:bookmarkEnd w:id="160"/>
      <w:bookmarkEnd w:id="161"/>
      <w:bookmarkEnd w:id="162"/>
      <w:bookmarkEnd w:id="163"/>
      <w:bookmarkEnd w:id="164"/>
      <w:bookmarkEnd w:id="165"/>
      <w:r>
        <w:rPr>
          <w:rFonts w:hint="eastAsia" w:ascii="宋体" w:hAnsi="宋体" w:cs="宋体"/>
          <w:b/>
          <w:bCs/>
          <w:color w:val="auto"/>
          <w:sz w:val="24"/>
          <w:highlight w:val="none"/>
        </w:rPr>
        <w:t>提交</w:t>
      </w:r>
      <w:bookmarkEnd w:id="166"/>
      <w:bookmarkEnd w:id="167"/>
      <w:bookmarkEnd w:id="168"/>
      <w:bookmarkEnd w:id="169"/>
    </w:p>
    <w:p w14:paraId="06D22FC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bookmarkStart w:id="174" w:name="_Toc301187673"/>
      <w:r>
        <w:rPr>
          <w:rFonts w:hint="eastAsia" w:ascii="宋体" w:hAnsi="宋体" w:cs="宋体"/>
          <w:color w:val="auto"/>
          <w:sz w:val="24"/>
          <w:highlight w:val="none"/>
        </w:rPr>
        <w:t>6.1.</w:t>
      </w:r>
      <w:bookmarkEnd w:id="174"/>
      <w:r>
        <w:rPr>
          <w:rFonts w:hint="eastAsia" w:ascii="宋体" w:hAnsi="宋体" w:cs="宋体"/>
          <w:color w:val="auto"/>
          <w:sz w:val="24"/>
          <w:highlight w:val="none"/>
        </w:rPr>
        <w:t>1不予接收的响应文件情形</w:t>
      </w:r>
    </w:p>
    <w:p w14:paraId="68F9461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截止时间前未</w:t>
      </w:r>
      <w:r>
        <w:rPr>
          <w:rFonts w:hint="eastAsia" w:ascii="宋体" w:hAnsi="宋体" w:cs="宋体"/>
          <w:color w:val="auto"/>
          <w:sz w:val="24"/>
          <w:highlight w:val="none"/>
          <w:lang w:eastAsia="zh-CN"/>
        </w:rPr>
        <w:t>提</w:t>
      </w:r>
      <w:r>
        <w:rPr>
          <w:rFonts w:hint="eastAsia" w:ascii="宋体" w:hAnsi="宋体" w:cs="宋体"/>
          <w:color w:val="auto"/>
          <w:sz w:val="24"/>
          <w:highlight w:val="none"/>
        </w:rPr>
        <w:t>交响应文件；</w:t>
      </w:r>
    </w:p>
    <w:p w14:paraId="0940B2F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响应文件未密封</w:t>
      </w:r>
      <w:r>
        <w:rPr>
          <w:rFonts w:hint="eastAsia" w:ascii="宋体" w:hAnsi="宋体" w:cs="宋体"/>
          <w:color w:val="auto"/>
          <w:sz w:val="24"/>
          <w:highlight w:val="none"/>
        </w:rPr>
        <w:t>。</w:t>
      </w:r>
    </w:p>
    <w:p w14:paraId="75898ADF">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75" w:name="_Toc23054"/>
      <w:bookmarkStart w:id="176" w:name="_Toc498327040"/>
      <w:bookmarkStart w:id="177" w:name="_Toc303756390"/>
      <w:bookmarkStart w:id="178" w:name="_Toc359934587"/>
      <w:bookmarkStart w:id="179" w:name="_Toc499128585"/>
      <w:bookmarkStart w:id="180" w:name="_Toc301187682"/>
      <w:r>
        <w:rPr>
          <w:rFonts w:hint="eastAsia" w:ascii="宋体" w:hAnsi="宋体" w:cs="宋体"/>
          <w:b/>
          <w:bCs/>
          <w:color w:val="auto"/>
          <w:sz w:val="24"/>
          <w:highlight w:val="none"/>
        </w:rPr>
        <w:t>6.2响应文件修改和撤回</w:t>
      </w:r>
      <w:bookmarkEnd w:id="175"/>
      <w:bookmarkEnd w:id="176"/>
      <w:bookmarkEnd w:id="177"/>
      <w:bookmarkEnd w:id="178"/>
      <w:bookmarkEnd w:id="179"/>
      <w:bookmarkEnd w:id="180"/>
    </w:p>
    <w:p w14:paraId="25A53CA3">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81" w:name="_Toc301187684"/>
      <w:bookmarkStart w:id="182" w:name="_Toc359934588"/>
      <w:bookmarkStart w:id="183" w:name="_Toc303756391"/>
      <w:bookmarkStart w:id="184" w:name="_Toc499128586"/>
      <w:bookmarkStart w:id="185" w:name="_Toc21854"/>
      <w:bookmarkStart w:id="186" w:name="_Toc498327041"/>
      <w:r>
        <w:rPr>
          <w:rFonts w:hint="eastAsia" w:ascii="宋体" w:hAnsi="宋体" w:cs="宋体"/>
          <w:color w:val="auto"/>
          <w:sz w:val="24"/>
          <w:highlight w:val="none"/>
        </w:rPr>
        <w:t>6.2.1供应商在</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截止时间之前，可以对已提交的响应文件进行补充、修改或撤回。</w:t>
      </w:r>
    </w:p>
    <w:p w14:paraId="28C1AFC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6.2.2补充、修改后重新提交的响应文件应按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的规定编制和提交。</w:t>
      </w:r>
    </w:p>
    <w:p w14:paraId="07EC391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6.2.3</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截止时间后，供应商不得修改、撤回已提交的响应文件。</w:t>
      </w:r>
    </w:p>
    <w:p w14:paraId="61EBAFBB">
      <w:pPr>
        <w:keepNext w:val="0"/>
        <w:keepLines w:val="0"/>
        <w:pageBreakBefore w:val="0"/>
        <w:widowControl w:val="0"/>
        <w:kinsoku/>
        <w:wordWrap/>
        <w:overflowPunct/>
        <w:topLinePunct w:val="0"/>
        <w:autoSpaceDE/>
        <w:autoSpaceDN/>
        <w:bidi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6.3响应文件提交地点和截止时间</w:t>
      </w:r>
      <w:bookmarkEnd w:id="181"/>
      <w:bookmarkEnd w:id="182"/>
      <w:bookmarkEnd w:id="183"/>
      <w:bookmarkEnd w:id="184"/>
      <w:bookmarkEnd w:id="185"/>
      <w:bookmarkEnd w:id="186"/>
    </w:p>
    <w:p w14:paraId="45B9754C">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87" w:name="_Toc301187685"/>
      <w:r>
        <w:rPr>
          <w:rFonts w:hint="eastAsia" w:ascii="宋体" w:hAnsi="宋体" w:cs="宋体"/>
          <w:color w:val="auto"/>
          <w:sz w:val="24"/>
          <w:highlight w:val="none"/>
        </w:rPr>
        <w:t>6.3.1</w:t>
      </w:r>
      <w:bookmarkEnd w:id="187"/>
      <w:r>
        <w:rPr>
          <w:rFonts w:hint="eastAsia" w:ascii="宋体" w:hAnsi="宋体" w:cs="宋体"/>
          <w:color w:val="auto"/>
          <w:sz w:val="24"/>
          <w:highlight w:val="none"/>
        </w:rPr>
        <w:t>响应文件提交地点：见供应商须知前附表。</w:t>
      </w:r>
      <w:bookmarkStart w:id="188" w:name="_Toc301187686"/>
    </w:p>
    <w:p w14:paraId="2AAB8FC2">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6.3.2响应文件提交截止时间：见供应商须知前附表。</w:t>
      </w:r>
      <w:bookmarkEnd w:id="188"/>
    </w:p>
    <w:p w14:paraId="241E14D1">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89" w:name="_Toc301187687"/>
      <w:r>
        <w:rPr>
          <w:rFonts w:hint="eastAsia" w:ascii="宋体" w:hAnsi="宋体" w:cs="宋体"/>
          <w:color w:val="auto"/>
          <w:sz w:val="24"/>
          <w:highlight w:val="none"/>
        </w:rPr>
        <w:t>6.3.3除供应商须知前附表另有规定外，供应商所提交的响应文件不予退还。</w:t>
      </w:r>
      <w:bookmarkEnd w:id="189"/>
    </w:p>
    <w:p w14:paraId="315D37F2">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90" w:name="_Toc17127"/>
      <w:bookmarkStart w:id="191" w:name="_Toc499128587"/>
      <w:bookmarkStart w:id="192" w:name="_Toc498327042"/>
      <w:r>
        <w:rPr>
          <w:rFonts w:hint="eastAsia" w:ascii="宋体" w:hAnsi="宋体" w:cs="宋体"/>
          <w:b/>
          <w:bCs/>
          <w:color w:val="auto"/>
          <w:sz w:val="24"/>
          <w:highlight w:val="none"/>
        </w:rPr>
        <w:t>6.4响应文件澄清、说明、补正</w:t>
      </w:r>
      <w:bookmarkEnd w:id="190"/>
      <w:bookmarkEnd w:id="191"/>
      <w:bookmarkEnd w:id="192"/>
    </w:p>
    <w:p w14:paraId="477B5FB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6.4.1对于响应文件中含义不明确、同类问题表述不一致或者有明显文字和计算错误的内容，</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要求供应商作出必要的澄清、说明或者补正。</w:t>
      </w:r>
    </w:p>
    <w:p w14:paraId="05C50D0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6.4.2供应商的澄清、说明或者补正不得超出询</w:t>
      </w:r>
      <w:r>
        <w:rPr>
          <w:rFonts w:hint="eastAsia" w:ascii="宋体" w:hAnsi="宋体" w:cs="宋体"/>
          <w:color w:val="auto"/>
          <w:sz w:val="24"/>
          <w:highlight w:val="none"/>
          <w:lang w:eastAsia="zh-CN"/>
        </w:rPr>
        <w:t>比</w:t>
      </w:r>
      <w:r>
        <w:rPr>
          <w:rFonts w:hint="eastAsia" w:ascii="宋体" w:hAnsi="宋体" w:cs="宋体"/>
          <w:color w:val="auto"/>
          <w:sz w:val="24"/>
          <w:highlight w:val="none"/>
        </w:rPr>
        <w:t>通知书的范围或者改变响应文件的实质性内容。</w:t>
      </w:r>
    </w:p>
    <w:p w14:paraId="58330318">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6.4.3供应商的澄清、说明或补正将作为响应文件的一部分。</w:t>
      </w:r>
    </w:p>
    <w:p w14:paraId="1F9C8A79">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6.4.4不接受供应商主动对响应文件的澄清、说明或者补正。</w:t>
      </w:r>
    </w:p>
    <w:bookmarkEnd w:id="170"/>
    <w:bookmarkEnd w:id="171"/>
    <w:bookmarkEnd w:id="172"/>
    <w:bookmarkEnd w:id="173"/>
    <w:p w14:paraId="5C5A3A0A">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93" w:name="_Toc31604"/>
      <w:bookmarkStart w:id="194" w:name="_Toc17157"/>
      <w:bookmarkStart w:id="195" w:name="_Toc499633650"/>
      <w:bookmarkStart w:id="196" w:name="_Toc3742"/>
      <w:bookmarkStart w:id="197" w:name="_Toc498327054"/>
      <w:bookmarkStart w:id="198" w:name="_Toc25151"/>
      <w:bookmarkStart w:id="199" w:name="_Toc499128599"/>
      <w:bookmarkStart w:id="200" w:name="_Toc518380027"/>
      <w:bookmarkStart w:id="201" w:name="_Toc31790"/>
      <w:r>
        <w:rPr>
          <w:rFonts w:hint="eastAsia" w:ascii="宋体" w:hAnsi="宋体" w:eastAsia="宋体" w:cs="宋体"/>
          <w:color w:val="auto"/>
          <w:sz w:val="24"/>
          <w:szCs w:val="24"/>
          <w:highlight w:val="none"/>
        </w:rPr>
        <w:t>7.无效情形</w:t>
      </w:r>
      <w:bookmarkEnd w:id="193"/>
    </w:p>
    <w:p w14:paraId="697A997C">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02" w:name="_Toc4852"/>
      <w:bookmarkStart w:id="203" w:name="_Toc12234"/>
      <w:r>
        <w:rPr>
          <w:rFonts w:hint="eastAsia" w:ascii="宋体" w:hAnsi="宋体" w:cs="宋体"/>
          <w:b/>
          <w:bCs/>
          <w:color w:val="auto"/>
          <w:sz w:val="24"/>
          <w:highlight w:val="none"/>
        </w:rPr>
        <w:t>7.1在开标时，如发现有以下情形之一的，其</w:t>
      </w:r>
      <w:r>
        <w:rPr>
          <w:rFonts w:hint="eastAsia" w:ascii="宋体" w:hAnsi="宋体" w:cs="宋体"/>
          <w:b/>
          <w:bCs/>
          <w:color w:val="auto"/>
          <w:sz w:val="24"/>
          <w:highlight w:val="none"/>
          <w:lang w:val="en-US" w:eastAsia="zh-CN"/>
        </w:rPr>
        <w:t>响应文件</w:t>
      </w:r>
      <w:r>
        <w:rPr>
          <w:rFonts w:hint="eastAsia" w:ascii="宋体" w:hAnsi="宋体" w:cs="宋体"/>
          <w:b/>
          <w:bCs/>
          <w:color w:val="auto"/>
          <w:sz w:val="24"/>
          <w:highlight w:val="none"/>
        </w:rPr>
        <w:t>无效</w:t>
      </w:r>
      <w:bookmarkEnd w:id="202"/>
      <w:bookmarkEnd w:id="203"/>
    </w:p>
    <w:p w14:paraId="65C885D0">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（1）未按要求提交响应文件的；</w:t>
      </w:r>
    </w:p>
    <w:p w14:paraId="551153BA">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（2）提交纸质响应文件未密封。</w:t>
      </w:r>
    </w:p>
    <w:p w14:paraId="5E12BB87">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7.2在符合性审查时，如发现下列情形之一的，响应文件将被视为无效</w:t>
      </w:r>
    </w:p>
    <w:p w14:paraId="3473316F">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04" w:name="_Toc301187693"/>
      <w:r>
        <w:rPr>
          <w:rFonts w:hint="eastAsia" w:ascii="宋体" w:hAnsi="宋体" w:cs="宋体"/>
          <w:color w:val="auto"/>
          <w:sz w:val="24"/>
          <w:highlight w:val="none"/>
        </w:rPr>
        <w:t>（1）供应商未按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规定进行签章的；</w:t>
      </w:r>
      <w:bookmarkEnd w:id="204"/>
    </w:p>
    <w:p w14:paraId="41EB3DD8">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05" w:name="_Toc301187695"/>
      <w:r>
        <w:rPr>
          <w:rFonts w:hint="eastAsia" w:ascii="宋体" w:hAnsi="宋体" w:cs="宋体"/>
          <w:color w:val="auto"/>
          <w:sz w:val="24"/>
          <w:highlight w:val="none"/>
        </w:rPr>
        <w:t>（2）响应文件未按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要求提供相关内容的，或者内容虚假的；</w:t>
      </w:r>
      <w:bookmarkEnd w:id="205"/>
    </w:p>
    <w:p w14:paraId="633006A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rPr>
          <w:rFonts w:hint="eastAsia" w:ascii="宋体" w:hAnsi="宋体" w:cs="宋体"/>
          <w:b/>
          <w:bCs/>
          <w:color w:val="auto"/>
          <w:sz w:val="24"/>
          <w:highlight w:val="none"/>
        </w:rPr>
      </w:pPr>
      <w:bookmarkStart w:id="206" w:name="_Toc301187696"/>
      <w:r>
        <w:rPr>
          <w:rFonts w:hint="eastAsia" w:ascii="宋体" w:hAnsi="宋体" w:cs="宋体"/>
          <w:b/>
          <w:bCs/>
          <w:color w:val="auto"/>
          <w:sz w:val="24"/>
          <w:highlight w:val="none"/>
        </w:rPr>
        <w:t>（3）响应文件的实质性内容未使用中文表述、意思表述不明确、前后矛盾或者使用计量单位不符合</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要求的（经</w:t>
      </w:r>
      <w:r>
        <w:rPr>
          <w:rFonts w:hint="eastAsia" w:ascii="宋体" w:hAnsi="宋体" w:cs="宋体"/>
          <w:b/>
          <w:bCs/>
          <w:color w:val="auto"/>
          <w:sz w:val="24"/>
          <w:highlight w:val="none"/>
          <w:lang w:eastAsia="zh-CN"/>
        </w:rPr>
        <w:t>评审小组</w:t>
      </w:r>
      <w:r>
        <w:rPr>
          <w:rFonts w:hint="eastAsia" w:ascii="宋体" w:hAnsi="宋体" w:cs="宋体"/>
          <w:b/>
          <w:bCs/>
          <w:color w:val="auto"/>
          <w:sz w:val="24"/>
          <w:highlight w:val="none"/>
        </w:rPr>
        <w:t>认定并允许其当场更正的笔误除外）</w:t>
      </w:r>
      <w:bookmarkEnd w:id="206"/>
      <w:r>
        <w:rPr>
          <w:rFonts w:hint="eastAsia" w:ascii="宋体" w:hAnsi="宋体" w:cs="宋体"/>
          <w:b/>
          <w:bCs/>
          <w:color w:val="auto"/>
          <w:sz w:val="24"/>
          <w:highlight w:val="none"/>
        </w:rPr>
        <w:t>；</w:t>
      </w:r>
    </w:p>
    <w:p w14:paraId="68931CA8">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07" w:name="_Toc301187697"/>
      <w:r>
        <w:rPr>
          <w:rFonts w:hint="eastAsia" w:ascii="宋体" w:hAnsi="宋体" w:cs="宋体"/>
          <w:color w:val="auto"/>
          <w:sz w:val="24"/>
          <w:highlight w:val="none"/>
        </w:rPr>
        <w:t>（4）</w:t>
      </w:r>
      <w:r>
        <w:rPr>
          <w:rFonts w:hint="eastAsia" w:ascii="宋体" w:hAnsi="宋体" w:cs="宋体"/>
          <w:b/>
          <w:bCs/>
          <w:color w:val="auto"/>
          <w:sz w:val="24"/>
          <w:highlight w:val="none"/>
        </w:rPr>
        <w:t>有效期、服务期、质保期等商务条款不能满足</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要求的</w:t>
      </w:r>
      <w:r>
        <w:rPr>
          <w:rFonts w:hint="eastAsia" w:ascii="宋体" w:hAnsi="宋体" w:cs="宋体"/>
          <w:color w:val="auto"/>
          <w:sz w:val="24"/>
          <w:highlight w:val="none"/>
        </w:rPr>
        <w:t>；</w:t>
      </w:r>
      <w:bookmarkEnd w:id="207"/>
    </w:p>
    <w:p w14:paraId="56BA2607">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08" w:name="_Toc301187698"/>
      <w:r>
        <w:rPr>
          <w:rFonts w:hint="eastAsia" w:ascii="宋体" w:hAnsi="宋体" w:cs="宋体"/>
          <w:color w:val="auto"/>
          <w:sz w:val="24"/>
          <w:highlight w:val="none"/>
        </w:rPr>
        <w:t>（5）未实质性响应</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要求或者响应文件有采购人不能接受的附加条件的；</w:t>
      </w:r>
      <w:bookmarkEnd w:id="208"/>
    </w:p>
    <w:p w14:paraId="45A152E9">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（6）响应文件未按规定的格式填写，内容不全或主要实质性内容字迹模糊辨认不清的；</w:t>
      </w:r>
    </w:p>
    <w:p w14:paraId="7C406661">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（7）未提供或未如实提供相关服务，或者</w:t>
      </w:r>
      <w:r>
        <w:rPr>
          <w:rFonts w:hint="eastAsia" w:ascii="宋体" w:hAnsi="宋体" w:cs="宋体"/>
          <w:color w:val="auto"/>
          <w:sz w:val="24"/>
          <w:highlight w:val="none"/>
          <w:lang w:eastAsia="zh-CN"/>
        </w:rPr>
        <w:t>询比</w:t>
      </w:r>
      <w:r>
        <w:rPr>
          <w:rFonts w:hint="eastAsia" w:ascii="宋体" w:hAnsi="宋体" w:cs="宋体"/>
          <w:color w:val="auto"/>
          <w:sz w:val="24"/>
          <w:highlight w:val="none"/>
        </w:rPr>
        <w:t>响应文件的响应与事实不符或虚假响应的；</w:t>
      </w:r>
    </w:p>
    <w:p w14:paraId="75930F5D">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及</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规定的其他无效情形。</w:t>
      </w:r>
    </w:p>
    <w:p w14:paraId="76A4D202">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09" w:name="_Toc499128591"/>
      <w:bookmarkStart w:id="210" w:name="_Toc30507"/>
      <w:bookmarkStart w:id="211" w:name="_Toc301187705"/>
      <w:bookmarkStart w:id="212" w:name="_Toc498327046"/>
      <w:r>
        <w:rPr>
          <w:rFonts w:hint="eastAsia" w:ascii="宋体" w:hAnsi="宋体" w:cs="宋体"/>
          <w:b/>
          <w:bCs/>
          <w:color w:val="auto"/>
          <w:sz w:val="24"/>
          <w:highlight w:val="none"/>
        </w:rPr>
        <w:t>7.3在报价评审时，如发现下列情形之一的，响应文件将被视为无效</w:t>
      </w:r>
      <w:bookmarkEnd w:id="209"/>
      <w:bookmarkEnd w:id="210"/>
      <w:bookmarkEnd w:id="211"/>
      <w:bookmarkEnd w:id="212"/>
    </w:p>
    <w:p w14:paraId="37C57284">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13" w:name="_Toc301187706"/>
      <w:r>
        <w:rPr>
          <w:rFonts w:hint="eastAsia" w:ascii="宋体" w:hAnsi="宋体" w:cs="宋体"/>
          <w:color w:val="auto"/>
          <w:sz w:val="24"/>
          <w:highlight w:val="none"/>
        </w:rPr>
        <w:t>（1）未采用人民币报价或者未按照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标明的币种报价的；</w:t>
      </w:r>
      <w:bookmarkEnd w:id="213"/>
    </w:p>
    <w:p w14:paraId="2B771B1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14" w:name="_Toc301187707"/>
      <w:r>
        <w:rPr>
          <w:rFonts w:hint="eastAsia" w:ascii="宋体" w:hAnsi="宋体" w:cs="宋体"/>
          <w:color w:val="auto"/>
          <w:sz w:val="24"/>
          <w:highlight w:val="none"/>
        </w:rPr>
        <w:t>（2）报价超出最高限价，或者超出采购预算金额，采购人不能支付的；</w:t>
      </w:r>
      <w:bookmarkEnd w:id="214"/>
    </w:p>
    <w:p w14:paraId="792C014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15" w:name="_Toc301187708"/>
      <w:r>
        <w:rPr>
          <w:rFonts w:hint="eastAsia" w:ascii="宋体" w:hAnsi="宋体" w:cs="宋体"/>
          <w:color w:val="auto"/>
          <w:sz w:val="24"/>
          <w:highlight w:val="none"/>
        </w:rPr>
        <w:t>（3）报价具有选择性，</w:t>
      </w:r>
      <w:bookmarkEnd w:id="215"/>
      <w:r>
        <w:rPr>
          <w:rFonts w:hint="eastAsia" w:ascii="宋体" w:hAnsi="宋体" w:cs="宋体"/>
          <w:color w:val="auto"/>
          <w:sz w:val="24"/>
          <w:highlight w:val="none"/>
        </w:rPr>
        <w:t>或者出现重大偏离的；</w:t>
      </w:r>
    </w:p>
    <w:p w14:paraId="2FFB231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报价明显低于其他通过符合性审查供应商的报价，有可能影响服务质量或者不能诚信履约的，未在评审现场合理的时间</w:t>
      </w:r>
      <w:r>
        <w:rPr>
          <w:rFonts w:hint="eastAsia" w:ascii="宋体" w:hAnsi="宋体" w:cs="宋体"/>
          <w:b/>
          <w:color w:val="auto"/>
          <w:sz w:val="24"/>
          <w:highlight w:val="none"/>
        </w:rPr>
        <w:t>内</w:t>
      </w:r>
      <w:r>
        <w:rPr>
          <w:rFonts w:hint="eastAsia" w:ascii="宋体" w:hAnsi="宋体" w:cs="宋体"/>
          <w:b/>
          <w:bCs/>
          <w:color w:val="auto"/>
          <w:sz w:val="24"/>
          <w:highlight w:val="none"/>
        </w:rPr>
        <w:t>提供说明及证明材料来证明其报价合理性的。</w:t>
      </w:r>
    </w:p>
    <w:p w14:paraId="5888E00B">
      <w:pPr>
        <w:spacing w:line="360" w:lineRule="auto"/>
        <w:jc w:val="left"/>
        <w:rPr>
          <w:rFonts w:hint="eastAsia" w:ascii="宋体" w:hAnsi="宋体" w:cs="宋体"/>
          <w:b/>
          <w:bCs/>
          <w:color w:val="auto"/>
          <w:sz w:val="24"/>
          <w:highlight w:val="none"/>
        </w:rPr>
      </w:pPr>
      <w:bookmarkStart w:id="216" w:name="_Toc499128592"/>
      <w:bookmarkStart w:id="217" w:name="_Toc6265"/>
      <w:bookmarkStart w:id="218" w:name="_Toc498327047"/>
      <w:r>
        <w:rPr>
          <w:rFonts w:hint="eastAsia" w:ascii="宋体" w:hAnsi="宋体" w:cs="宋体"/>
          <w:b/>
          <w:bCs/>
          <w:color w:val="auto"/>
          <w:sz w:val="24"/>
          <w:highlight w:val="none"/>
        </w:rPr>
        <w:t>7.4有下列情形之一的，视为供应商串通</w:t>
      </w:r>
      <w:r>
        <w:rPr>
          <w:rFonts w:hint="eastAsia" w:ascii="宋体" w:hAnsi="宋体" w:cs="宋体"/>
          <w:b/>
          <w:bCs/>
          <w:color w:val="auto"/>
          <w:sz w:val="24"/>
          <w:highlight w:val="none"/>
          <w:lang w:eastAsia="zh-CN"/>
        </w:rPr>
        <w:t>询比</w:t>
      </w:r>
      <w:r>
        <w:rPr>
          <w:rFonts w:hint="eastAsia" w:ascii="宋体" w:hAnsi="宋体" w:cs="宋体"/>
          <w:b/>
          <w:bCs/>
          <w:color w:val="auto"/>
          <w:sz w:val="24"/>
          <w:highlight w:val="none"/>
        </w:rPr>
        <w:t>，其</w:t>
      </w: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无效</w:t>
      </w:r>
      <w:bookmarkEnd w:id="216"/>
      <w:bookmarkEnd w:id="217"/>
      <w:bookmarkEnd w:id="218"/>
    </w:p>
    <w:p w14:paraId="61C29C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109204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（2）不同供应商委托同一单位或者个人办理询</w:t>
      </w:r>
      <w:r>
        <w:rPr>
          <w:rFonts w:hint="eastAsia" w:ascii="宋体" w:hAnsi="宋体" w:cs="宋体"/>
          <w:color w:val="auto"/>
          <w:sz w:val="24"/>
          <w:highlight w:val="none"/>
          <w:lang w:eastAsia="zh-CN"/>
        </w:rPr>
        <w:t>比</w:t>
      </w:r>
      <w:r>
        <w:rPr>
          <w:rFonts w:hint="eastAsia" w:ascii="宋体" w:hAnsi="宋体" w:cs="宋体"/>
          <w:color w:val="auto"/>
          <w:sz w:val="24"/>
          <w:highlight w:val="none"/>
        </w:rPr>
        <w:t>事宜；</w:t>
      </w:r>
    </w:p>
    <w:p w14:paraId="7CE380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（3）不同供应商的响应文件载明的项目管理成员或者联系人员为同一人；</w:t>
      </w:r>
    </w:p>
    <w:p w14:paraId="553B8C69">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（4）不同供应商的响应文件异常一致或者报价呈规律性差异。</w:t>
      </w:r>
    </w:p>
    <w:p w14:paraId="256EDC3C">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19" w:name="_Toc21917"/>
      <w:bookmarkStart w:id="220" w:name="_Toc499128593"/>
      <w:bookmarkStart w:id="221" w:name="_Toc498327048"/>
      <w:r>
        <w:rPr>
          <w:rFonts w:hint="eastAsia" w:ascii="宋体" w:hAnsi="宋体" w:cs="宋体"/>
          <w:b/>
          <w:bCs/>
          <w:color w:val="auto"/>
          <w:sz w:val="24"/>
          <w:highlight w:val="none"/>
        </w:rPr>
        <w:t>7.5有下列情况之一的，其响应文件无效</w:t>
      </w:r>
      <w:bookmarkEnd w:id="219"/>
      <w:bookmarkEnd w:id="220"/>
      <w:bookmarkEnd w:id="221"/>
    </w:p>
    <w:p w14:paraId="023637F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（1）妨碍其他供应商的竞争行为；</w:t>
      </w:r>
    </w:p>
    <w:p w14:paraId="245E8917">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（2）损害采购人或者其他供应商的合法权益。</w:t>
      </w:r>
    </w:p>
    <w:p w14:paraId="27AE8D4F">
      <w:pPr>
        <w:pStyle w:val="3"/>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222" w:name="_Toc29494"/>
      <w:bookmarkStart w:id="223" w:name="_Toc10941"/>
      <w:bookmarkStart w:id="224" w:name="_Toc27217"/>
      <w:bookmarkStart w:id="225" w:name="_Toc451264424"/>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.成交和合同</w:t>
      </w:r>
      <w:bookmarkEnd w:id="222"/>
      <w:bookmarkEnd w:id="223"/>
      <w:bookmarkEnd w:id="224"/>
    </w:p>
    <w:p w14:paraId="4D8E18DB">
      <w:pPr>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.1成交</w:t>
      </w:r>
    </w:p>
    <w:p w14:paraId="0F943B3F">
      <w:pPr>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26" w:name="_Toc301187778"/>
      <w:r>
        <w:rPr>
          <w:rFonts w:hint="eastAsia" w:ascii="宋体" w:hAnsi="宋体" w:cs="宋体"/>
          <w:color w:val="auto"/>
          <w:sz w:val="24"/>
          <w:highlight w:val="none"/>
        </w:rPr>
        <w:t>原则上应当按照排名顺序确定排名第一成交</w:t>
      </w:r>
      <w:r>
        <w:rPr>
          <w:rFonts w:hint="eastAsia" w:ascii="宋体" w:hAnsi="宋体" w:cs="宋体"/>
          <w:color w:val="auto"/>
          <w:sz w:val="24"/>
          <w:highlight w:val="none"/>
          <w:lang w:bidi="ar"/>
        </w:rPr>
        <w:t>候选人</w:t>
      </w:r>
      <w:r>
        <w:rPr>
          <w:rFonts w:hint="eastAsia" w:ascii="宋体" w:hAnsi="宋体" w:cs="宋体"/>
          <w:color w:val="auto"/>
          <w:sz w:val="24"/>
          <w:highlight w:val="none"/>
        </w:rPr>
        <w:t>为成交供应商。排名第一的成交候选人出现下列情形之一的，采购人可以直接确定排名第二的成交候选人为成交供应商：</w:t>
      </w:r>
      <w:bookmarkEnd w:id="226"/>
    </w:p>
    <w:p w14:paraId="63145E50">
      <w:pPr>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27" w:name="_Toc301187779"/>
      <w:r>
        <w:rPr>
          <w:rFonts w:hint="eastAsia" w:ascii="宋体" w:hAnsi="宋体" w:cs="宋体"/>
          <w:color w:val="auto"/>
          <w:sz w:val="24"/>
          <w:highlight w:val="none"/>
        </w:rPr>
        <w:t>（1）成交候选人因自身原因放弃成交或因不可抗力不能履行合同的；</w:t>
      </w:r>
      <w:bookmarkEnd w:id="227"/>
    </w:p>
    <w:p w14:paraId="710EE29C">
      <w:pPr>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28" w:name="_Toc301187781"/>
      <w:r>
        <w:rPr>
          <w:rFonts w:hint="eastAsia" w:ascii="宋体" w:hAnsi="宋体" w:cs="宋体"/>
          <w:color w:val="auto"/>
          <w:sz w:val="24"/>
          <w:highlight w:val="none"/>
        </w:rPr>
        <w:t>（2）</w:t>
      </w:r>
      <w:bookmarkEnd w:id="228"/>
      <w:r>
        <w:rPr>
          <w:rFonts w:hint="eastAsia" w:ascii="宋体" w:hAnsi="宋体" w:cs="宋体"/>
          <w:color w:val="auto"/>
          <w:sz w:val="24"/>
          <w:highlight w:val="none"/>
        </w:rPr>
        <w:t>经质疑，采购人审查确认因成交候选人在本次采购活动中存在违法违规行为或其他原因使质疑成立的。</w:t>
      </w:r>
    </w:p>
    <w:p w14:paraId="3E6AB9A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color w:val="auto"/>
          <w:sz w:val="24"/>
          <w:highlight w:val="none"/>
        </w:rPr>
      </w:pPr>
      <w:bookmarkStart w:id="229" w:name="_Toc518380032"/>
      <w:bookmarkStart w:id="230" w:name="_Toc499633655"/>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成交结果</w:t>
      </w:r>
      <w:bookmarkEnd w:id="229"/>
      <w:bookmarkEnd w:id="230"/>
    </w:p>
    <w:p w14:paraId="3ADD187C">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.1采购人应当自成交供应商确定之日起2个工作日内，在供应商须知前附表规定的网址发布成交结果。</w:t>
      </w:r>
    </w:p>
    <w:p w14:paraId="2EAFF71A">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成交通知书发出后，采购人不得违法改变成交结果，成交供应商无正当理由不得放弃成交项目。</w:t>
      </w:r>
    </w:p>
    <w:bookmarkEnd w:id="225"/>
    <w:p w14:paraId="607BC88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color w:val="auto"/>
          <w:sz w:val="24"/>
          <w:highlight w:val="none"/>
        </w:rPr>
      </w:pPr>
      <w:bookmarkStart w:id="231" w:name="_Toc451264426"/>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.4合同</w:t>
      </w:r>
      <w:bookmarkEnd w:id="231"/>
      <w:r>
        <w:rPr>
          <w:rFonts w:hint="eastAsia" w:ascii="宋体" w:hAnsi="宋体" w:cs="宋体"/>
          <w:b/>
          <w:bCs/>
          <w:color w:val="auto"/>
          <w:sz w:val="24"/>
          <w:highlight w:val="none"/>
        </w:rPr>
        <w:t>签订</w:t>
      </w:r>
    </w:p>
    <w:p w14:paraId="1FBD251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
          <w:bCs/>
          <w:color w:val="auto"/>
          <w:kern w:val="44"/>
          <w:sz w:val="36"/>
          <w:szCs w:val="24"/>
          <w:highlight w:val="none"/>
          <w:lang w:val="en-US" w:eastAsia="zh-CN" w:bidi="ar-SA"/>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.4.1</w:t>
      </w:r>
      <w:r>
        <w:rPr>
          <w:rFonts w:hint="eastAsia" w:ascii="宋体" w:hAnsi="宋体" w:cs="宋体"/>
          <w:b/>
          <w:bCs/>
          <w:color w:val="auto"/>
          <w:sz w:val="24"/>
          <w:highlight w:val="none"/>
        </w:rPr>
        <w:t>采购人应当自成交通知书发出之日起</w:t>
      </w:r>
      <w:r>
        <w:rPr>
          <w:rFonts w:hint="eastAsia" w:ascii="宋体" w:hAnsi="宋体" w:cs="宋体"/>
          <w:b/>
          <w:bCs/>
          <w:color w:val="auto"/>
          <w:sz w:val="24"/>
          <w:highlight w:val="none"/>
          <w:lang w:eastAsia="zh-CN"/>
        </w:rPr>
        <w:t>一个月内（特殊情况双方协商确定）</w:t>
      </w:r>
      <w:r>
        <w:rPr>
          <w:rFonts w:hint="eastAsia" w:ascii="宋体" w:hAnsi="宋体" w:cs="宋体"/>
          <w:b/>
          <w:bCs/>
          <w:color w:val="auto"/>
          <w:sz w:val="24"/>
          <w:highlight w:val="none"/>
        </w:rPr>
        <w:t>，按照</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和响应文件确定的事项签订采购合同。</w:t>
      </w:r>
    </w:p>
    <w:p w14:paraId="4619A6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宋体" w:hAnsi="宋体" w:eastAsia="宋体" w:cs="宋体"/>
          <w:b/>
          <w:bCs/>
          <w:color w:val="auto"/>
          <w:kern w:val="44"/>
          <w:sz w:val="36"/>
          <w:szCs w:val="24"/>
          <w:highlight w:val="none"/>
          <w:lang w:val="en-US" w:eastAsia="zh-CN" w:bidi="ar-SA"/>
        </w:rPr>
      </w:pPr>
      <w:bookmarkStart w:id="232" w:name="_Toc339"/>
      <w:r>
        <w:rPr>
          <w:rFonts w:hint="eastAsia" w:ascii="宋体" w:hAnsi="宋体" w:eastAsia="宋体" w:cs="宋体"/>
          <w:b/>
          <w:bCs/>
          <w:color w:val="auto"/>
          <w:kern w:val="44"/>
          <w:sz w:val="36"/>
          <w:szCs w:val="24"/>
          <w:highlight w:val="none"/>
          <w:lang w:val="en-US" w:eastAsia="zh-CN" w:bidi="ar-SA"/>
        </w:rPr>
        <w:t>第三章 评审办法</w:t>
      </w:r>
      <w:bookmarkEnd w:id="232"/>
    </w:p>
    <w:bookmarkEnd w:id="194"/>
    <w:bookmarkEnd w:id="195"/>
    <w:bookmarkEnd w:id="196"/>
    <w:bookmarkEnd w:id="197"/>
    <w:bookmarkEnd w:id="198"/>
    <w:bookmarkEnd w:id="199"/>
    <w:bookmarkEnd w:id="200"/>
    <w:bookmarkEnd w:id="201"/>
    <w:p w14:paraId="259C5F48">
      <w:pPr>
        <w:keepNext w:val="0"/>
        <w:keepLines w:val="0"/>
        <w:pageBreakBefore w:val="0"/>
        <w:widowControl w:val="0"/>
        <w:kinsoku/>
        <w:wordWrap/>
        <w:overflowPunct/>
        <w:topLinePunct w:val="0"/>
        <w:autoSpaceDE/>
        <w:autoSpaceDN/>
        <w:bidi w:val="0"/>
        <w:spacing w:line="360" w:lineRule="auto"/>
        <w:jc w:val="left"/>
        <w:outlineLvl w:val="1"/>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、询比</w:t>
      </w:r>
    </w:p>
    <w:p w14:paraId="34F81C77">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时间和地点</w:t>
      </w:r>
    </w:p>
    <w:p w14:paraId="7C13171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在第一章询比公告内</w:t>
      </w:r>
      <w:r>
        <w:rPr>
          <w:rFonts w:hint="eastAsia" w:ascii="宋体" w:hAnsi="宋体" w:cs="宋体"/>
          <w:color w:val="auto"/>
          <w:sz w:val="24"/>
          <w:highlight w:val="none"/>
        </w:rPr>
        <w:t>规定的地点询</w:t>
      </w:r>
      <w:r>
        <w:rPr>
          <w:rFonts w:hint="eastAsia" w:ascii="宋体" w:hAnsi="宋体" w:cs="宋体"/>
          <w:color w:val="auto"/>
          <w:sz w:val="24"/>
          <w:highlight w:val="none"/>
          <w:lang w:eastAsia="zh-CN"/>
        </w:rPr>
        <w:t>比</w:t>
      </w:r>
      <w:r>
        <w:rPr>
          <w:rFonts w:hint="eastAsia" w:ascii="宋体" w:hAnsi="宋体" w:cs="宋体"/>
          <w:color w:val="auto"/>
          <w:sz w:val="24"/>
          <w:highlight w:val="none"/>
        </w:rPr>
        <w:t>。</w:t>
      </w:r>
    </w:p>
    <w:p w14:paraId="034459F2">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lang w:eastAsia="zh-CN"/>
        </w:rPr>
        <w:t>评审小组</w:t>
      </w:r>
      <w:r>
        <w:rPr>
          <w:rFonts w:hint="eastAsia" w:ascii="宋体" w:hAnsi="宋体" w:cs="宋体"/>
          <w:bCs/>
          <w:color w:val="auto"/>
          <w:sz w:val="24"/>
          <w:highlight w:val="none"/>
        </w:rPr>
        <w:t>对供应商</w:t>
      </w:r>
      <w:r>
        <w:rPr>
          <w:rFonts w:hint="eastAsia" w:ascii="宋体" w:hAnsi="宋体" w:cs="宋体"/>
          <w:bCs/>
          <w:color w:val="auto"/>
          <w:sz w:val="24"/>
          <w:highlight w:val="none"/>
          <w:lang w:eastAsia="zh-CN"/>
        </w:rPr>
        <w:t>递交的响应文件</w:t>
      </w:r>
      <w:r>
        <w:rPr>
          <w:rFonts w:hint="eastAsia" w:ascii="宋体" w:hAnsi="宋体" w:cs="宋体"/>
          <w:bCs/>
          <w:color w:val="auto"/>
          <w:sz w:val="24"/>
          <w:highlight w:val="none"/>
        </w:rPr>
        <w:t>进行资格审查</w:t>
      </w:r>
      <w:r>
        <w:rPr>
          <w:rFonts w:hint="eastAsia" w:ascii="宋体" w:hAnsi="宋体" w:cs="宋体"/>
          <w:bCs/>
          <w:color w:val="auto"/>
          <w:sz w:val="24"/>
          <w:highlight w:val="none"/>
          <w:lang w:val="en-US" w:eastAsia="zh-CN"/>
        </w:rPr>
        <w:t>和</w:t>
      </w:r>
      <w:r>
        <w:rPr>
          <w:rFonts w:hint="eastAsia" w:ascii="宋体" w:hAnsi="宋体" w:cs="宋体"/>
          <w:bCs/>
          <w:color w:val="auto"/>
          <w:sz w:val="24"/>
          <w:highlight w:val="none"/>
          <w:lang w:eastAsia="zh-CN"/>
        </w:rPr>
        <w:t>符合</w:t>
      </w:r>
      <w:r>
        <w:rPr>
          <w:rFonts w:hint="eastAsia" w:ascii="宋体" w:hAnsi="宋体" w:cs="宋体"/>
          <w:bCs/>
          <w:color w:val="auto"/>
          <w:sz w:val="24"/>
          <w:highlight w:val="none"/>
        </w:rPr>
        <w:t>符合性审查；</w:t>
      </w:r>
    </w:p>
    <w:p w14:paraId="449CA2A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lang w:eastAsia="zh-CN"/>
        </w:rPr>
        <w:t>评审小组</w:t>
      </w:r>
      <w:r>
        <w:rPr>
          <w:rFonts w:hint="eastAsia" w:ascii="宋体" w:hAnsi="宋体" w:cs="宋体"/>
          <w:bCs/>
          <w:color w:val="auto"/>
          <w:sz w:val="24"/>
          <w:highlight w:val="none"/>
        </w:rPr>
        <w:t>对各供应商的报价文件进行审核；</w:t>
      </w:r>
    </w:p>
    <w:p w14:paraId="18DE8B6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评审小组</w:t>
      </w:r>
      <w:r>
        <w:rPr>
          <w:rFonts w:hint="eastAsia" w:ascii="宋体" w:hAnsi="宋体" w:cs="宋体"/>
          <w:bCs/>
          <w:color w:val="auto"/>
          <w:sz w:val="24"/>
          <w:highlight w:val="none"/>
        </w:rPr>
        <w:t>起草</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评审报告，并推荐成交候选人或确定成交供应商；</w:t>
      </w:r>
    </w:p>
    <w:p w14:paraId="3B27ED5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评审小组组长</w:t>
      </w:r>
      <w:r>
        <w:rPr>
          <w:rFonts w:hint="eastAsia" w:ascii="宋体" w:hAnsi="宋体" w:cs="宋体"/>
          <w:bCs/>
          <w:color w:val="auto"/>
          <w:sz w:val="24"/>
          <w:highlight w:val="none"/>
        </w:rPr>
        <w:t>宣布有效供应商的评审结果以及推荐的成交候选人或确定成交供应商；</w:t>
      </w:r>
    </w:p>
    <w:p w14:paraId="4683558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结束。</w:t>
      </w:r>
    </w:p>
    <w:p w14:paraId="1EBEC595">
      <w:pPr>
        <w:keepNext w:val="0"/>
        <w:keepLines w:val="0"/>
        <w:pageBreakBefore w:val="0"/>
        <w:widowControl w:val="0"/>
        <w:kinsoku/>
        <w:wordWrap/>
        <w:overflowPunct/>
        <w:topLinePunct w:val="0"/>
        <w:autoSpaceDE/>
        <w:autoSpaceDN/>
        <w:bidi w:val="0"/>
        <w:spacing w:line="360"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资格审查、符合性审查</w:t>
      </w:r>
    </w:p>
    <w:p w14:paraId="7825EF4A">
      <w:pPr>
        <w:keepNext w:val="0"/>
        <w:keepLines w:val="0"/>
        <w:pageBreakBefore w:val="0"/>
        <w:widowControl w:val="0"/>
        <w:kinsoku/>
        <w:wordWrap/>
        <w:overflowPunct/>
        <w:topLinePunct w:val="0"/>
        <w:autoSpaceDE/>
        <w:autoSpaceDN/>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2.1资格性审查。</w:t>
      </w:r>
    </w:p>
    <w:tbl>
      <w:tblPr>
        <w:tblStyle w:val="22"/>
        <w:tblW w:w="10410"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900"/>
        <w:gridCol w:w="3226"/>
        <w:gridCol w:w="5445"/>
      </w:tblGrid>
      <w:tr w14:paraId="7A9B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noWrap w:val="0"/>
            <w:vAlign w:val="center"/>
          </w:tcPr>
          <w:p w14:paraId="067B569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126" w:type="dxa"/>
            <w:gridSpan w:val="2"/>
            <w:noWrap w:val="0"/>
            <w:vAlign w:val="center"/>
          </w:tcPr>
          <w:p w14:paraId="09D5D35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5445" w:type="dxa"/>
            <w:noWrap w:val="0"/>
            <w:vAlign w:val="center"/>
          </w:tcPr>
          <w:p w14:paraId="078BE20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14:paraId="2C0A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restart"/>
            <w:noWrap w:val="0"/>
            <w:vAlign w:val="center"/>
          </w:tcPr>
          <w:p w14:paraId="60F05D6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00" w:type="dxa"/>
            <w:vMerge w:val="restart"/>
            <w:tcBorders>
              <w:right w:val="single" w:color="auto" w:sz="4" w:space="0"/>
            </w:tcBorders>
            <w:noWrap w:val="0"/>
            <w:vAlign w:val="center"/>
          </w:tcPr>
          <w:p w14:paraId="03B15B3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供应商应符合的基本资格条件</w:t>
            </w:r>
          </w:p>
        </w:tc>
        <w:tc>
          <w:tcPr>
            <w:tcW w:w="3226" w:type="dxa"/>
            <w:tcBorders>
              <w:left w:val="single" w:color="auto" w:sz="4" w:space="0"/>
            </w:tcBorders>
            <w:noWrap w:val="0"/>
            <w:vAlign w:val="center"/>
          </w:tcPr>
          <w:p w14:paraId="31BA56F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tc>
        <w:tc>
          <w:tcPr>
            <w:tcW w:w="5445" w:type="dxa"/>
            <w:noWrap w:val="0"/>
            <w:vAlign w:val="center"/>
          </w:tcPr>
          <w:p w14:paraId="064B64A6">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tc>
      </w:tr>
      <w:tr w14:paraId="0B16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14:paraId="12B5D25A">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14:paraId="48D37224">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14:paraId="0F5695C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（2）具有良好的商业信誉和具有健全的财务会计制度</w:t>
            </w:r>
          </w:p>
        </w:tc>
        <w:tc>
          <w:tcPr>
            <w:tcW w:w="5445" w:type="dxa"/>
            <w:vMerge w:val="restart"/>
            <w:noWrap w:val="0"/>
            <w:vAlign w:val="center"/>
          </w:tcPr>
          <w:p w14:paraId="204F6A3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基本</w:t>
            </w:r>
            <w:r>
              <w:rPr>
                <w:rFonts w:hint="eastAsia" w:ascii="宋体" w:hAnsi="宋体" w:cs="宋体"/>
                <w:color w:val="auto"/>
                <w:sz w:val="24"/>
                <w:highlight w:val="none"/>
              </w:rPr>
              <w:t>承诺函</w:t>
            </w:r>
          </w:p>
          <w:p w14:paraId="1A83FE14">
            <w:pPr>
              <w:snapToGrid w:val="0"/>
              <w:spacing w:line="360" w:lineRule="auto"/>
              <w:rPr>
                <w:rFonts w:hint="eastAsia" w:ascii="宋体" w:hAnsi="宋体" w:cs="宋体"/>
                <w:color w:val="auto"/>
                <w:sz w:val="24"/>
                <w:highlight w:val="none"/>
              </w:rPr>
            </w:pPr>
          </w:p>
        </w:tc>
      </w:tr>
      <w:tr w14:paraId="0B19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14:paraId="7659EA14">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14:paraId="7452AD5C">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14:paraId="3AFBCA1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tc>
        <w:tc>
          <w:tcPr>
            <w:tcW w:w="5445" w:type="dxa"/>
            <w:vMerge w:val="continue"/>
            <w:noWrap w:val="0"/>
            <w:vAlign w:val="center"/>
          </w:tcPr>
          <w:p w14:paraId="79DD8200">
            <w:pPr>
              <w:spacing w:line="360" w:lineRule="auto"/>
              <w:rPr>
                <w:rFonts w:hint="eastAsia" w:ascii="宋体" w:hAnsi="宋体" w:cs="宋体"/>
                <w:color w:val="auto"/>
                <w:sz w:val="24"/>
                <w:highlight w:val="none"/>
              </w:rPr>
            </w:pPr>
          </w:p>
        </w:tc>
      </w:tr>
      <w:tr w14:paraId="2218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14:paraId="72552723">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14:paraId="0E4A5AE3">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14:paraId="4D1AB27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（4）有依法缴纳税收和社会保障金的良好记录</w:t>
            </w:r>
          </w:p>
        </w:tc>
        <w:tc>
          <w:tcPr>
            <w:tcW w:w="5445" w:type="dxa"/>
            <w:vMerge w:val="continue"/>
            <w:noWrap w:val="0"/>
            <w:vAlign w:val="center"/>
          </w:tcPr>
          <w:p w14:paraId="6DDDAE28">
            <w:pPr>
              <w:snapToGrid w:val="0"/>
              <w:spacing w:line="360" w:lineRule="auto"/>
              <w:rPr>
                <w:rFonts w:hint="eastAsia" w:ascii="宋体" w:hAnsi="宋体" w:cs="宋体"/>
                <w:color w:val="auto"/>
                <w:sz w:val="24"/>
                <w:highlight w:val="none"/>
              </w:rPr>
            </w:pPr>
          </w:p>
        </w:tc>
      </w:tr>
      <w:tr w14:paraId="258D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39" w:type="dxa"/>
            <w:vMerge w:val="continue"/>
            <w:noWrap w:val="0"/>
            <w:vAlign w:val="center"/>
          </w:tcPr>
          <w:p w14:paraId="2BADF3BB">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14:paraId="6E66A687">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14:paraId="17D944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（5）参加本次采购活动前三年内，在经营活动中没有重大违法违规记录</w:t>
            </w:r>
          </w:p>
        </w:tc>
        <w:tc>
          <w:tcPr>
            <w:tcW w:w="5445" w:type="dxa"/>
            <w:vMerge w:val="continue"/>
            <w:noWrap w:val="0"/>
            <w:vAlign w:val="center"/>
          </w:tcPr>
          <w:p w14:paraId="308614BB">
            <w:pPr>
              <w:spacing w:line="360" w:lineRule="auto"/>
              <w:jc w:val="left"/>
              <w:rPr>
                <w:rFonts w:hint="eastAsia" w:ascii="宋体" w:hAnsi="宋体" w:cs="宋体"/>
                <w:color w:val="auto"/>
                <w:sz w:val="24"/>
                <w:highlight w:val="none"/>
              </w:rPr>
            </w:pPr>
          </w:p>
        </w:tc>
      </w:tr>
      <w:tr w14:paraId="67609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39" w:type="dxa"/>
            <w:vMerge w:val="continue"/>
            <w:noWrap w:val="0"/>
            <w:vAlign w:val="center"/>
          </w:tcPr>
          <w:p w14:paraId="1B96AF92">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14:paraId="1CA5D7F0">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14:paraId="5C5A236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tc>
        <w:tc>
          <w:tcPr>
            <w:tcW w:w="5445" w:type="dxa"/>
            <w:vMerge w:val="continue"/>
            <w:noWrap w:val="0"/>
            <w:vAlign w:val="center"/>
          </w:tcPr>
          <w:p w14:paraId="46BCB8F4">
            <w:pPr>
              <w:spacing w:line="360" w:lineRule="auto"/>
              <w:jc w:val="left"/>
              <w:rPr>
                <w:rFonts w:hint="eastAsia" w:ascii="宋体" w:hAnsi="宋体" w:cs="宋体"/>
                <w:color w:val="auto"/>
                <w:sz w:val="24"/>
                <w:highlight w:val="none"/>
              </w:rPr>
            </w:pPr>
          </w:p>
        </w:tc>
      </w:tr>
      <w:tr w14:paraId="276BC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39" w:type="dxa"/>
            <w:noWrap w:val="0"/>
            <w:vAlign w:val="center"/>
          </w:tcPr>
          <w:p w14:paraId="595B14D9">
            <w:pPr>
              <w:spacing w:line="360" w:lineRule="auto"/>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2</w:t>
            </w:r>
          </w:p>
        </w:tc>
        <w:tc>
          <w:tcPr>
            <w:tcW w:w="900" w:type="dxa"/>
            <w:tcBorders>
              <w:right w:val="single" w:color="auto" w:sz="4" w:space="0"/>
            </w:tcBorders>
            <w:noWrap w:val="0"/>
            <w:vAlign w:val="center"/>
          </w:tcPr>
          <w:p w14:paraId="06CD5C71">
            <w:pPr>
              <w:spacing w:line="360" w:lineRule="auto"/>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特定资格</w:t>
            </w:r>
          </w:p>
        </w:tc>
        <w:tc>
          <w:tcPr>
            <w:tcW w:w="8671" w:type="dxa"/>
            <w:gridSpan w:val="2"/>
            <w:tcBorders>
              <w:left w:val="single" w:color="auto" w:sz="4" w:space="0"/>
            </w:tcBorders>
            <w:noWrap w:val="0"/>
            <w:vAlign w:val="center"/>
          </w:tcPr>
          <w:p w14:paraId="1F1D42A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供应商应具有有效的且与所报项目（采购包）相适应的医疗器械生产许可或经营许可，即：供应商为生产企业，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2）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tc>
      </w:tr>
    </w:tbl>
    <w:p w14:paraId="1A0725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件的有效性、完整性和对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的响应程度进行审查，以确定是否对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的实质性要求做出响应。符合性审查资料表如下：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00"/>
        <w:gridCol w:w="2784"/>
        <w:gridCol w:w="5000"/>
      </w:tblGrid>
      <w:tr w14:paraId="30902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761A3E83">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784" w:type="dxa"/>
            <w:gridSpan w:val="2"/>
            <w:noWrap/>
            <w:vAlign w:val="top"/>
          </w:tcPr>
          <w:p w14:paraId="4AFFA28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5000" w:type="dxa"/>
            <w:noWrap/>
            <w:vAlign w:val="top"/>
          </w:tcPr>
          <w:p w14:paraId="5CBF35C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14:paraId="73E8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noWrap/>
            <w:vAlign w:val="center"/>
          </w:tcPr>
          <w:p w14:paraId="1DB6FDB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00" w:type="dxa"/>
            <w:vMerge w:val="restart"/>
            <w:tcBorders>
              <w:right w:val="single" w:color="auto" w:sz="4" w:space="0"/>
            </w:tcBorders>
            <w:noWrap/>
            <w:vAlign w:val="center"/>
          </w:tcPr>
          <w:p w14:paraId="330869B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符合性审查</w:t>
            </w:r>
          </w:p>
        </w:tc>
        <w:tc>
          <w:tcPr>
            <w:tcW w:w="2784" w:type="dxa"/>
            <w:tcBorders>
              <w:left w:val="single" w:color="auto" w:sz="4" w:space="0"/>
            </w:tcBorders>
            <w:noWrap/>
            <w:vAlign w:val="center"/>
          </w:tcPr>
          <w:p w14:paraId="63B0CF0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响应文件数量</w:t>
            </w:r>
          </w:p>
        </w:tc>
        <w:tc>
          <w:tcPr>
            <w:tcW w:w="5000" w:type="dxa"/>
            <w:noWrap/>
            <w:vAlign w:val="center"/>
          </w:tcPr>
          <w:p w14:paraId="5F2A6E3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规定提交响应文件数量</w:t>
            </w:r>
          </w:p>
        </w:tc>
      </w:tr>
      <w:tr w14:paraId="4D7F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59" w:type="dxa"/>
            <w:vMerge w:val="continue"/>
            <w:noWrap/>
            <w:vAlign w:val="center"/>
          </w:tcPr>
          <w:p w14:paraId="43F0EAE0">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14:paraId="4061CEEA">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14:paraId="623726D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响应文件签署、密封、盖章</w:t>
            </w:r>
          </w:p>
        </w:tc>
        <w:tc>
          <w:tcPr>
            <w:tcW w:w="5000" w:type="dxa"/>
            <w:noWrap/>
            <w:vAlign w:val="center"/>
          </w:tcPr>
          <w:p w14:paraId="5B7F28B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规定要求签署、密封、盖章。</w:t>
            </w:r>
          </w:p>
        </w:tc>
      </w:tr>
      <w:tr w14:paraId="7D83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14:paraId="5A4AF0C5">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14:paraId="56D2E98E">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14:paraId="4AED1CD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响应文件组成</w:t>
            </w:r>
          </w:p>
        </w:tc>
        <w:tc>
          <w:tcPr>
            <w:tcW w:w="5000" w:type="dxa"/>
            <w:noWrap/>
            <w:vAlign w:val="center"/>
          </w:tcPr>
          <w:p w14:paraId="0D46EC9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按照询</w:t>
            </w:r>
            <w:r>
              <w:rPr>
                <w:rFonts w:hint="eastAsia" w:ascii="宋体" w:hAnsi="宋体" w:cs="宋体"/>
                <w:color w:val="auto"/>
                <w:sz w:val="24"/>
                <w:highlight w:val="none"/>
                <w:lang w:eastAsia="zh-CN"/>
              </w:rPr>
              <w:t>询比文件格式</w:t>
            </w:r>
            <w:r>
              <w:rPr>
                <w:rFonts w:hint="eastAsia" w:ascii="宋体" w:hAnsi="宋体" w:cs="宋体"/>
                <w:color w:val="auto"/>
                <w:sz w:val="24"/>
                <w:highlight w:val="none"/>
              </w:rPr>
              <w:t>要求提供响应文件</w:t>
            </w:r>
          </w:p>
        </w:tc>
      </w:tr>
      <w:tr w14:paraId="7EE7F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14:paraId="70CCDB6A">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14:paraId="18573B2F">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14:paraId="341B89B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响应文件格式、语言、计量单位、报价货币、 知识产权有效期等</w:t>
            </w:r>
          </w:p>
        </w:tc>
        <w:tc>
          <w:tcPr>
            <w:tcW w:w="5000" w:type="dxa"/>
            <w:noWrap/>
            <w:vAlign w:val="center"/>
          </w:tcPr>
          <w:p w14:paraId="0FAC741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响应文件的格式、语言、计量单位、报价货币、 知识产权有效期等</w:t>
            </w:r>
          </w:p>
        </w:tc>
      </w:tr>
      <w:tr w14:paraId="658B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959" w:type="dxa"/>
            <w:vMerge w:val="continue"/>
            <w:noWrap/>
            <w:vAlign w:val="center"/>
          </w:tcPr>
          <w:p w14:paraId="7A74381D">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14:paraId="401E85EA">
            <w:pPr>
              <w:spacing w:line="360" w:lineRule="auto"/>
              <w:jc w:val="center"/>
              <w:rPr>
                <w:rFonts w:hint="eastAsia" w:ascii="宋体" w:hAnsi="宋体" w:cs="宋体"/>
                <w:color w:val="auto"/>
                <w:sz w:val="24"/>
                <w:highlight w:val="none"/>
              </w:rPr>
            </w:pPr>
          </w:p>
        </w:tc>
        <w:tc>
          <w:tcPr>
            <w:tcW w:w="2784" w:type="dxa"/>
            <w:tcBorders>
              <w:top w:val="single" w:color="auto" w:sz="4" w:space="0"/>
              <w:left w:val="single" w:color="auto" w:sz="4" w:space="0"/>
              <w:bottom w:val="single" w:color="auto" w:sz="4" w:space="0"/>
            </w:tcBorders>
            <w:noWrap/>
            <w:vAlign w:val="center"/>
          </w:tcPr>
          <w:p w14:paraId="46FC04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规定的其他实质性内容</w:t>
            </w:r>
          </w:p>
        </w:tc>
        <w:tc>
          <w:tcPr>
            <w:tcW w:w="5000" w:type="dxa"/>
            <w:tcBorders>
              <w:top w:val="single" w:color="auto" w:sz="4" w:space="0"/>
              <w:bottom w:val="single" w:color="auto" w:sz="4" w:space="0"/>
            </w:tcBorders>
            <w:noWrap/>
            <w:vAlign w:val="top"/>
          </w:tcPr>
          <w:p w14:paraId="52A0586C">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规定的其他实质性内容</w:t>
            </w:r>
          </w:p>
        </w:tc>
      </w:tr>
    </w:tbl>
    <w:p w14:paraId="0E79EE4D">
      <w:pPr>
        <w:spacing w:line="360"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询</w:t>
      </w:r>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评审</w:t>
      </w:r>
    </w:p>
    <w:p w14:paraId="6125DA8D">
      <w:pPr>
        <w:spacing w:line="360" w:lineRule="auto"/>
        <w:ind w:left="479" w:leftChars="228" w:firstLine="0" w:firstLineChars="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组成：</w:t>
      </w:r>
      <w:r>
        <w:rPr>
          <w:rFonts w:hint="eastAsia" w:ascii="宋体" w:hAnsi="宋体" w:cs="宋体"/>
          <w:color w:val="auto"/>
          <w:kern w:val="0"/>
          <w:sz w:val="24"/>
          <w:highlight w:val="none"/>
          <w:lang w:val="en-US" w:eastAsia="zh-CN" w:bidi="ar"/>
        </w:rPr>
        <w:t>询比小组一般为三人以上单数，由商务和技术人员组成。</w:t>
      </w:r>
    </w:p>
    <w:p w14:paraId="0223B2D1">
      <w:pPr>
        <w:spacing w:line="360" w:lineRule="auto"/>
        <w:ind w:left="479" w:leftChars="228" w:firstLine="0" w:firstLineChars="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3.2</w:t>
      </w:r>
      <w:r>
        <w:rPr>
          <w:rFonts w:hint="eastAsia" w:ascii="宋体" w:hAnsi="宋体" w:cs="宋体"/>
          <w:color w:val="auto"/>
          <w:kern w:val="0"/>
          <w:sz w:val="24"/>
          <w:highlight w:val="none"/>
          <w:lang w:eastAsia="zh-CN" w:bidi="ar"/>
        </w:rPr>
        <w:t>询比</w:t>
      </w:r>
      <w:r>
        <w:rPr>
          <w:rFonts w:hint="eastAsia" w:ascii="宋体" w:hAnsi="宋体" w:cs="宋体"/>
          <w:color w:val="auto"/>
          <w:kern w:val="0"/>
          <w:sz w:val="24"/>
          <w:highlight w:val="none"/>
          <w:lang w:bidi="ar"/>
        </w:rPr>
        <w:t>评审规定</w:t>
      </w:r>
    </w:p>
    <w:p w14:paraId="7EADB2B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审查资信及商务标响应文件的完整性、符合性，是否满足</w:t>
      </w:r>
      <w:r>
        <w:rPr>
          <w:rFonts w:hint="eastAsia" w:ascii="宋体" w:hAnsi="宋体" w:cs="宋体"/>
          <w:color w:val="auto"/>
          <w:kern w:val="0"/>
          <w:sz w:val="24"/>
          <w:highlight w:val="none"/>
          <w:lang w:eastAsia="zh-CN" w:bidi="ar"/>
        </w:rPr>
        <w:t>询比文件</w:t>
      </w:r>
      <w:r>
        <w:rPr>
          <w:rFonts w:hint="eastAsia" w:ascii="宋体" w:hAnsi="宋体" w:cs="宋体"/>
          <w:color w:val="auto"/>
          <w:kern w:val="0"/>
          <w:sz w:val="24"/>
          <w:highlight w:val="none"/>
          <w:lang w:bidi="ar"/>
        </w:rPr>
        <w:t>的实质性条款。</w:t>
      </w:r>
    </w:p>
    <w:p w14:paraId="5D0BE4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将根据供应商的响应文件进行审查、核对</w:t>
      </w:r>
      <w:r>
        <w:rPr>
          <w:rFonts w:hint="eastAsia" w:ascii="宋体" w:hAnsi="宋体" w:cs="宋体"/>
          <w:color w:val="auto"/>
          <w:sz w:val="24"/>
          <w:highlight w:val="none"/>
        </w:rPr>
        <w:t>。</w:t>
      </w:r>
    </w:p>
    <w:p w14:paraId="33034A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lang w:val="en-US" w:eastAsia="zh-CN"/>
        </w:rPr>
        <w:t>通过初步评审的供应商不足三家的且评审小组对采购文件、采购公告时间及程序进行审查，审查结果为：采购文件没有不合理条款、采购公告时间及程序符合政府采购的有关规定和医院采购管理有关制度，可以继续评审；通过初步评审的供应商不足三家，评审小组认为价格竞争不充分且明显超出采购人预期价格，或明显超出相关市场信息共享平台公开的市场价格的，采购人可决定由评审小组直接参照谈判采购方式（适用于两家供应商的情形）或直接采购方式（适用于一家供应商的情形）与供应商谈判后确定成交供应商及其成交价格，也可重新组织采购活动。</w:t>
      </w:r>
    </w:p>
    <w:p w14:paraId="0703D4E9">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按</w:t>
      </w:r>
      <w:r>
        <w:rPr>
          <w:rFonts w:hint="eastAsia" w:ascii="宋体" w:hAnsi="宋体" w:cs="宋体"/>
          <w:color w:val="auto"/>
          <w:kern w:val="0"/>
          <w:sz w:val="24"/>
          <w:highlight w:val="none"/>
          <w:lang w:bidi="ar"/>
        </w:rPr>
        <w:t>询</w:t>
      </w:r>
      <w:r>
        <w:rPr>
          <w:rFonts w:hint="eastAsia" w:ascii="宋体" w:hAnsi="宋体" w:cs="宋体"/>
          <w:color w:val="auto"/>
          <w:kern w:val="0"/>
          <w:sz w:val="24"/>
          <w:highlight w:val="none"/>
          <w:lang w:eastAsia="zh-CN" w:bidi="ar"/>
        </w:rPr>
        <w:t>比</w:t>
      </w:r>
      <w:r>
        <w:rPr>
          <w:rFonts w:hint="eastAsia" w:ascii="宋体" w:hAnsi="宋体" w:cs="宋体"/>
          <w:color w:val="auto"/>
          <w:sz w:val="24"/>
          <w:highlight w:val="none"/>
        </w:rPr>
        <w:t>评审办法推荐成交候选人或确定成交供应商，同时起草评审报告。</w:t>
      </w:r>
    </w:p>
    <w:p w14:paraId="26B5AA5A">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成员对需要共同认定的事项存在争议的，应当按照少数服从多数的原则作出结论，持不同意见的</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成员应当在</w:t>
      </w:r>
      <w:r>
        <w:rPr>
          <w:rFonts w:hint="eastAsia" w:ascii="宋体" w:hAnsi="宋体" w:cs="宋体"/>
          <w:color w:val="auto"/>
          <w:kern w:val="0"/>
          <w:sz w:val="24"/>
          <w:highlight w:val="none"/>
          <w:lang w:bidi="ar"/>
        </w:rPr>
        <w:t>询</w:t>
      </w:r>
      <w:r>
        <w:rPr>
          <w:rFonts w:hint="eastAsia" w:ascii="宋体" w:hAnsi="宋体" w:cs="宋体"/>
          <w:color w:val="auto"/>
          <w:kern w:val="0"/>
          <w:sz w:val="24"/>
          <w:highlight w:val="none"/>
          <w:lang w:eastAsia="zh-CN" w:bidi="ar"/>
        </w:rPr>
        <w:t>比</w:t>
      </w:r>
      <w:r>
        <w:rPr>
          <w:rFonts w:hint="eastAsia" w:ascii="宋体" w:hAnsi="宋体" w:cs="宋体"/>
          <w:color w:val="auto"/>
          <w:sz w:val="24"/>
          <w:highlight w:val="none"/>
        </w:rPr>
        <w:t>评审报告上签署不同意见及理由，否则视为同意</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评审报告。</w:t>
      </w:r>
    </w:p>
    <w:p w14:paraId="540CCA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3.3错误修正</w:t>
      </w:r>
    </w:p>
    <w:p w14:paraId="6BA4FD07">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响应文件如果出现计算或表达上的错误，修正错误的原则如下：</w:t>
      </w:r>
    </w:p>
    <w:p w14:paraId="53003C89">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（1）响应文件中</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一览表内容与响应文件中相应内容不一致的，以</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一览表为准；</w:t>
      </w:r>
    </w:p>
    <w:p w14:paraId="5EDF1AD2">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（2）响应文件的大写金额和小写金额不一致的，以大写金额为准；</w:t>
      </w:r>
    </w:p>
    <w:p w14:paraId="51D22014">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一览表的总价为准，并修改单价；</w:t>
      </w:r>
    </w:p>
    <w:p w14:paraId="7921894C">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856BAEB">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（5）对不同文字文本响应文件的解释发生异议的，以中文文本为准；</w:t>
      </w:r>
    </w:p>
    <w:p w14:paraId="6C4E2DB6">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同时出现两种以上不一致的，按照前款规定的顺序修正。修正后的报价经供应商同意并确认后对供应商产生约束力。如果供应商不接受修正后的报价，其</w:t>
      </w:r>
      <w:r>
        <w:rPr>
          <w:rFonts w:hint="eastAsia" w:ascii="宋体" w:hAnsi="宋体" w:cs="宋体"/>
          <w:color w:val="auto"/>
          <w:sz w:val="24"/>
          <w:highlight w:val="none"/>
          <w:lang w:eastAsia="zh-CN"/>
        </w:rPr>
        <w:t>询比</w:t>
      </w:r>
      <w:r>
        <w:rPr>
          <w:rFonts w:hint="eastAsia" w:ascii="宋体" w:hAnsi="宋体" w:cs="宋体"/>
          <w:color w:val="auto"/>
          <w:sz w:val="24"/>
          <w:highlight w:val="none"/>
        </w:rPr>
        <w:t>作无效处理。</w:t>
      </w:r>
    </w:p>
    <w:p w14:paraId="7EA3AF6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3.4</w:t>
      </w:r>
      <w:r>
        <w:rPr>
          <w:rFonts w:hint="eastAsia" w:ascii="宋体" w:hAnsi="宋体" w:cs="宋体"/>
          <w:color w:val="auto"/>
          <w:kern w:val="0"/>
          <w:sz w:val="24"/>
          <w:highlight w:val="none"/>
          <w:lang w:eastAsia="zh-CN" w:bidi="ar"/>
        </w:rPr>
        <w:t>询比</w:t>
      </w:r>
      <w:r>
        <w:rPr>
          <w:rFonts w:hint="eastAsia" w:ascii="宋体" w:hAnsi="宋体" w:cs="宋体"/>
          <w:color w:val="auto"/>
          <w:kern w:val="0"/>
          <w:sz w:val="24"/>
          <w:highlight w:val="none"/>
          <w:lang w:bidi="ar"/>
        </w:rPr>
        <w:t>评审纪律</w:t>
      </w:r>
    </w:p>
    <w:p w14:paraId="3E5911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必须公平、公正、客观，不带任何倾向性和启发性；</w:t>
      </w:r>
    </w:p>
    <w:p w14:paraId="0C1533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及有关工作人员不得向外界透露任何与询</w:t>
      </w:r>
      <w:r>
        <w:rPr>
          <w:rFonts w:hint="eastAsia" w:ascii="宋体" w:hAnsi="宋体" w:cs="宋体"/>
          <w:color w:val="auto"/>
          <w:sz w:val="24"/>
          <w:highlight w:val="none"/>
          <w:lang w:eastAsia="zh-CN"/>
        </w:rPr>
        <w:t>比</w:t>
      </w:r>
      <w:r>
        <w:rPr>
          <w:rFonts w:hint="eastAsia" w:ascii="宋体" w:hAnsi="宋体" w:cs="宋体"/>
          <w:color w:val="auto"/>
          <w:sz w:val="24"/>
          <w:highlight w:val="none"/>
        </w:rPr>
        <w:t>评审有关的内容；</w:t>
      </w:r>
    </w:p>
    <w:p w14:paraId="3C1782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（3）任何单位和个人不得干扰、影响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评审的正常进行；</w:t>
      </w:r>
    </w:p>
    <w:p w14:paraId="468402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及有关工作人员不得私下与供应商接触；</w:t>
      </w:r>
    </w:p>
    <w:p w14:paraId="61162F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评审过程中</w:t>
      </w:r>
      <w:r>
        <w:rPr>
          <w:rFonts w:hint="eastAsia" w:ascii="宋体" w:hAnsi="宋体" w:cs="宋体"/>
          <w:color w:val="auto"/>
          <w:sz w:val="24"/>
          <w:highlight w:val="none"/>
          <w:lang w:eastAsia="zh-CN"/>
        </w:rPr>
        <w:t>擅离职守</w:t>
      </w:r>
      <w:r>
        <w:rPr>
          <w:rFonts w:hint="eastAsia" w:ascii="宋体" w:hAnsi="宋体" w:cs="宋体"/>
          <w:color w:val="auto"/>
          <w:sz w:val="24"/>
          <w:highlight w:val="none"/>
        </w:rPr>
        <w:t>，影响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评审程序正常进行的；</w:t>
      </w:r>
    </w:p>
    <w:p w14:paraId="457108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（6）记录、复制或者带走任何</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评审资料；</w:t>
      </w:r>
    </w:p>
    <w:p w14:paraId="51D036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（7）其他不遵守</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评审纪律的行为。</w:t>
      </w:r>
    </w:p>
    <w:p w14:paraId="4B4A60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评审过程的监控</w:t>
      </w:r>
    </w:p>
    <w:p w14:paraId="1331C9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本项目评审过程实行全程录音、录像监控，供应商在</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评审过程中所有进行的试图影响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评审结果的不公正活动，可能导致其报价被拒绝。</w:t>
      </w:r>
    </w:p>
    <w:p w14:paraId="2CE604A2">
      <w:pPr>
        <w:spacing w:line="336"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定标</w:t>
      </w:r>
    </w:p>
    <w:p w14:paraId="4E63105B">
      <w:pPr>
        <w:spacing w:line="336" w:lineRule="auto"/>
        <w:ind w:firstLine="480" w:firstLineChars="200"/>
        <w:rPr>
          <w:rFonts w:hint="eastAsia" w:ascii="宋体" w:hAnsi="宋体" w:cs="宋体"/>
          <w:bCs/>
          <w:color w:val="auto"/>
          <w:sz w:val="24"/>
          <w:highlight w:val="none"/>
        </w:rPr>
      </w:pPr>
      <w:r>
        <w:rPr>
          <w:rFonts w:hint="eastAsia" w:ascii="宋体" w:hAnsi="宋体" w:cs="宋体"/>
          <w:color w:val="auto"/>
          <w:kern w:val="0"/>
          <w:sz w:val="24"/>
          <w:highlight w:val="none"/>
          <w:lang w:bidi="ar"/>
        </w:rPr>
        <w:t>4.1</w:t>
      </w:r>
      <w:r>
        <w:rPr>
          <w:rFonts w:hint="eastAsia" w:ascii="宋体" w:hAnsi="宋体" w:cs="宋体"/>
          <w:color w:val="auto"/>
          <w:kern w:val="0"/>
          <w:sz w:val="24"/>
          <w:highlight w:val="none"/>
          <w:lang w:eastAsia="zh-CN" w:bidi="ar"/>
        </w:rPr>
        <w:t>询比</w:t>
      </w:r>
      <w:r>
        <w:rPr>
          <w:rFonts w:hint="eastAsia" w:ascii="宋体" w:hAnsi="宋体" w:cs="宋体"/>
          <w:bCs/>
          <w:color w:val="auto"/>
          <w:sz w:val="24"/>
          <w:highlight w:val="none"/>
        </w:rPr>
        <w:t>评审办法：</w:t>
      </w:r>
      <w:r>
        <w:rPr>
          <w:rFonts w:hint="eastAsia" w:ascii="宋体" w:hAnsi="宋体" w:cs="宋体"/>
          <w:bCs/>
          <w:sz w:val="24"/>
        </w:rPr>
        <w:t>最低评标价法，最低评标价法是指响应文件满足询</w:t>
      </w:r>
      <w:r>
        <w:rPr>
          <w:rFonts w:hint="eastAsia" w:ascii="宋体" w:hAnsi="宋体" w:cs="宋体"/>
          <w:bCs/>
          <w:sz w:val="24"/>
          <w:lang w:eastAsia="zh-CN"/>
        </w:rPr>
        <w:t>比文件</w:t>
      </w:r>
      <w:r>
        <w:rPr>
          <w:rFonts w:hint="eastAsia" w:ascii="宋体" w:hAnsi="宋体" w:cs="宋体"/>
          <w:bCs/>
          <w:sz w:val="24"/>
        </w:rPr>
        <w:t>全部实质性要求，</w:t>
      </w:r>
      <w:r>
        <w:rPr>
          <w:rFonts w:hint="eastAsia" w:ascii="宋体" w:hAnsi="宋体" w:cs="宋体"/>
          <w:bCs/>
          <w:color w:val="auto"/>
          <w:sz w:val="24"/>
          <w:highlight w:val="none"/>
        </w:rPr>
        <w:t>且报价最低的供应商为成交候选人的评审办法。</w:t>
      </w:r>
    </w:p>
    <w:p w14:paraId="2C3C1DB5">
      <w:pPr>
        <w:spacing w:line="336" w:lineRule="auto"/>
        <w:ind w:firstLine="480" w:firstLineChars="200"/>
        <w:rPr>
          <w:rStyle w:val="31"/>
          <w:rFonts w:hint="eastAsia" w:ascii="宋体" w:hAnsi="宋体" w:cs="宋体"/>
          <w:color w:val="auto"/>
          <w:highlight w:val="none"/>
          <w:lang w:eastAsia="zh-CN"/>
        </w:rPr>
      </w:pPr>
      <w:bookmarkStart w:id="233" w:name="_Toc10452"/>
      <w:r>
        <w:rPr>
          <w:rFonts w:hint="eastAsia" w:ascii="宋体" w:hAnsi="宋体" w:cs="宋体"/>
          <w:bCs/>
          <w:color w:val="auto"/>
          <w:sz w:val="24"/>
          <w:highlight w:val="none"/>
          <w:lang w:val="en-US" w:eastAsia="zh-CN"/>
        </w:rPr>
        <w:t>4.2</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小组应当从质量和服务均能满足询</w:t>
      </w:r>
      <w:r>
        <w:rPr>
          <w:rFonts w:hint="eastAsia" w:ascii="宋体" w:hAnsi="宋体" w:cs="宋体"/>
          <w:bCs/>
          <w:color w:val="auto"/>
          <w:sz w:val="24"/>
          <w:highlight w:val="none"/>
          <w:lang w:eastAsia="zh-CN"/>
        </w:rPr>
        <w:t>比</w:t>
      </w:r>
      <w:r>
        <w:rPr>
          <w:rFonts w:hint="eastAsia" w:ascii="宋体" w:hAnsi="宋体" w:cs="宋体"/>
          <w:bCs/>
          <w:color w:val="auto"/>
          <w:sz w:val="24"/>
          <w:highlight w:val="none"/>
        </w:rPr>
        <w:t>通知书实质性要求的供应商中，按照评审报价由低到高的顺序提出3名成</w:t>
      </w:r>
      <w:r>
        <w:rPr>
          <w:rFonts w:hint="eastAsia" w:ascii="宋体" w:hAnsi="宋体" w:cs="宋体"/>
          <w:color w:val="auto"/>
          <w:kern w:val="0"/>
          <w:sz w:val="24"/>
          <w:highlight w:val="none"/>
          <w:lang w:bidi="ar"/>
        </w:rPr>
        <w:t>交候选人。</w:t>
      </w:r>
      <w:r>
        <w:rPr>
          <w:rStyle w:val="31"/>
          <w:rFonts w:hint="eastAsia" w:ascii="宋体" w:hAnsi="宋体" w:cs="宋体"/>
          <w:color w:val="auto"/>
          <w:highlight w:val="none"/>
          <w:lang w:eastAsia="zh-CN"/>
        </w:rPr>
        <w:br w:type="page"/>
      </w:r>
    </w:p>
    <w:p w14:paraId="43ECD546">
      <w:pPr>
        <w:spacing w:line="360" w:lineRule="auto"/>
        <w:jc w:val="center"/>
        <w:outlineLvl w:val="0"/>
        <w:rPr>
          <w:rStyle w:val="31"/>
          <w:rFonts w:hint="default" w:ascii="宋体" w:hAnsi="宋体" w:cs="宋体"/>
          <w:color w:val="auto"/>
          <w:highlight w:val="none"/>
          <w:lang w:val="en-US" w:eastAsia="zh-CN"/>
        </w:rPr>
      </w:pPr>
      <w:bookmarkStart w:id="234" w:name="_Toc17705"/>
      <w:r>
        <w:rPr>
          <w:rStyle w:val="31"/>
          <w:rFonts w:hint="eastAsia" w:ascii="宋体" w:hAnsi="宋体" w:cs="宋体"/>
          <w:color w:val="auto"/>
          <w:highlight w:val="none"/>
          <w:lang w:eastAsia="zh-CN"/>
        </w:rPr>
        <w:t>第四章</w:t>
      </w:r>
      <w:r>
        <w:rPr>
          <w:rStyle w:val="31"/>
          <w:rFonts w:hint="eastAsia" w:ascii="宋体" w:hAnsi="宋体" w:cs="宋体"/>
          <w:color w:val="auto"/>
          <w:highlight w:val="none"/>
          <w:lang w:val="en-US" w:eastAsia="zh-CN"/>
        </w:rPr>
        <w:t xml:space="preserve"> </w:t>
      </w:r>
      <w:r>
        <w:rPr>
          <w:rStyle w:val="31"/>
          <w:rFonts w:hint="eastAsia" w:ascii="宋体" w:hAnsi="宋体" w:cs="宋体"/>
          <w:color w:val="auto"/>
          <w:highlight w:val="none"/>
          <w:lang w:eastAsia="zh-CN"/>
        </w:rPr>
        <w:t>合同</w:t>
      </w:r>
      <w:r>
        <w:rPr>
          <w:rStyle w:val="31"/>
          <w:rFonts w:hint="eastAsia" w:ascii="宋体" w:hAnsi="宋体" w:cs="宋体"/>
          <w:color w:val="auto"/>
          <w:highlight w:val="none"/>
          <w:lang w:val="en-US" w:eastAsia="zh-CN"/>
        </w:rPr>
        <w:t>模板</w:t>
      </w:r>
      <w:bookmarkEnd w:id="233"/>
      <w:bookmarkEnd w:id="234"/>
    </w:p>
    <w:p w14:paraId="350BC8B6">
      <w:pPr>
        <w:tabs>
          <w:tab w:val="left" w:pos="3240"/>
        </w:tabs>
        <w:spacing w:line="360" w:lineRule="auto"/>
        <w:ind w:firstLine="480"/>
        <w:rPr>
          <w:rFonts w:hint="eastAsia" w:ascii="宋体" w:hAnsi="宋体" w:cs="宋体"/>
          <w:b/>
          <w:color w:val="FF0000"/>
          <w:sz w:val="30"/>
          <w:szCs w:val="30"/>
        </w:rPr>
      </w:pPr>
      <w:bookmarkStart w:id="235" w:name="_Toc31894"/>
      <w:r>
        <w:rPr>
          <w:rFonts w:hint="eastAsia" w:ascii="宋体" w:hAnsi="宋体" w:cs="宋体"/>
          <w:b/>
          <w:color w:val="FF0000"/>
          <w:sz w:val="30"/>
          <w:szCs w:val="30"/>
        </w:rPr>
        <w:t>项目编号：</w:t>
      </w:r>
      <w:r>
        <w:rPr>
          <w:rFonts w:hint="eastAsia" w:ascii="宋体" w:hAnsi="宋体" w:cs="宋体"/>
          <w:b/>
          <w:bCs/>
          <w:color w:val="FF0000"/>
          <w:sz w:val="28"/>
          <w:szCs w:val="28"/>
          <w:u w:val="single"/>
          <w:lang w:val="en-US" w:eastAsia="zh-CN"/>
        </w:rPr>
        <w:t xml:space="preserve">                  </w:t>
      </w:r>
      <w:r>
        <w:rPr>
          <w:rFonts w:hint="eastAsia" w:ascii="宋体" w:hAnsi="宋体" w:cs="宋体"/>
          <w:b/>
          <w:bCs/>
          <w:color w:val="FF0000"/>
          <w:sz w:val="28"/>
          <w:szCs w:val="28"/>
          <w:u w:val="single"/>
        </w:rPr>
        <w:t xml:space="preserve"> </w:t>
      </w:r>
    </w:p>
    <w:p w14:paraId="51B64579">
      <w:pPr>
        <w:tabs>
          <w:tab w:val="left" w:pos="3240"/>
        </w:tabs>
        <w:spacing w:line="360" w:lineRule="auto"/>
        <w:ind w:firstLine="480"/>
        <w:rPr>
          <w:rFonts w:hint="default" w:ascii="宋体" w:hAnsi="宋体" w:eastAsia="宋体" w:cs="宋体"/>
          <w:b/>
          <w:color w:val="FF0000"/>
          <w:sz w:val="30"/>
          <w:szCs w:val="30"/>
          <w:lang w:val="en-US" w:eastAsia="zh-CN"/>
        </w:rPr>
      </w:pPr>
      <w:r>
        <w:rPr>
          <w:rFonts w:hint="eastAsia" w:ascii="宋体" w:hAnsi="宋体" w:cs="宋体"/>
          <w:b/>
          <w:color w:val="FF0000"/>
          <w:sz w:val="30"/>
          <w:szCs w:val="30"/>
        </w:rPr>
        <w:t>合同编号：</w:t>
      </w:r>
      <w:r>
        <w:rPr>
          <w:rFonts w:hint="eastAsia" w:ascii="宋体" w:hAnsi="宋体" w:cs="宋体"/>
          <w:b/>
          <w:color w:val="FF0000"/>
          <w:sz w:val="30"/>
          <w:szCs w:val="30"/>
          <w:u w:val="single"/>
        </w:rPr>
        <w:t>HHZSY-</w:t>
      </w:r>
      <w:r>
        <w:rPr>
          <w:rFonts w:hint="eastAsia" w:ascii="宋体" w:hAnsi="宋体" w:cs="宋体"/>
          <w:b/>
          <w:color w:val="FF0000"/>
          <w:sz w:val="30"/>
          <w:szCs w:val="30"/>
          <w:u w:val="single"/>
          <w:lang w:val="en-US" w:eastAsia="zh-CN"/>
        </w:rPr>
        <w:t>YNHT</w:t>
      </w:r>
      <w:r>
        <w:rPr>
          <w:rFonts w:hint="eastAsia" w:ascii="宋体" w:hAnsi="宋体" w:cs="宋体"/>
          <w:b/>
          <w:color w:val="FF0000"/>
          <w:sz w:val="30"/>
          <w:szCs w:val="30"/>
          <w:u w:val="single"/>
        </w:rPr>
        <w:t>-202</w:t>
      </w:r>
      <w:r>
        <w:rPr>
          <w:rFonts w:hint="eastAsia" w:ascii="宋体" w:hAnsi="宋体" w:cs="宋体"/>
          <w:b/>
          <w:color w:val="FF0000"/>
          <w:sz w:val="30"/>
          <w:szCs w:val="30"/>
          <w:u w:val="single"/>
          <w:lang w:eastAsia="zh-CN"/>
        </w:rPr>
        <w:t>？</w:t>
      </w:r>
      <w:r>
        <w:rPr>
          <w:rFonts w:hint="eastAsia" w:ascii="宋体" w:hAnsi="宋体" w:cs="宋体"/>
          <w:b/>
          <w:color w:val="FF0000"/>
          <w:sz w:val="30"/>
          <w:szCs w:val="30"/>
          <w:u w:val="single"/>
          <w:lang w:val="en-US" w:eastAsia="zh-CN"/>
        </w:rPr>
        <w:t>00？</w:t>
      </w:r>
    </w:p>
    <w:p w14:paraId="40C5B24F">
      <w:pPr>
        <w:tabs>
          <w:tab w:val="left" w:pos="3240"/>
        </w:tabs>
        <w:spacing w:line="360" w:lineRule="auto"/>
        <w:ind w:firstLine="480"/>
        <w:rPr>
          <w:rFonts w:hint="eastAsia" w:ascii="宋体" w:hAnsi="宋体" w:cs="宋体"/>
          <w:b/>
          <w:color w:val="000000"/>
          <w:sz w:val="36"/>
          <w:szCs w:val="36"/>
        </w:rPr>
      </w:pPr>
    </w:p>
    <w:p w14:paraId="42837010">
      <w:pPr>
        <w:tabs>
          <w:tab w:val="left" w:pos="3240"/>
        </w:tabs>
        <w:spacing w:line="360" w:lineRule="auto"/>
        <w:ind w:firstLine="480"/>
        <w:rPr>
          <w:rFonts w:hint="eastAsia" w:ascii="宋体" w:hAnsi="宋体" w:cs="宋体"/>
          <w:b/>
          <w:color w:val="000000"/>
          <w:sz w:val="36"/>
          <w:szCs w:val="36"/>
        </w:rPr>
      </w:pPr>
    </w:p>
    <w:p w14:paraId="0902B599">
      <w:pPr>
        <w:jc w:val="center"/>
        <w:rPr>
          <w:rFonts w:hint="eastAsia" w:ascii="宋体" w:hAnsi="宋体" w:cs="宋体"/>
          <w:b/>
          <w:color w:val="000000"/>
          <w:sz w:val="44"/>
          <w:szCs w:val="44"/>
        </w:rPr>
      </w:pPr>
      <w:r>
        <w:rPr>
          <w:rFonts w:hint="eastAsia" w:ascii="宋体" w:hAnsi="宋体" w:cs="宋体"/>
          <w:b/>
          <w:color w:val="000000"/>
          <w:sz w:val="44"/>
          <w:szCs w:val="44"/>
        </w:rPr>
        <w:t>红河哈尼族彝族自治州第三人民医院</w:t>
      </w:r>
    </w:p>
    <w:p w14:paraId="2CD0735E">
      <w:pPr>
        <w:jc w:val="center"/>
        <w:rPr>
          <w:rFonts w:hint="eastAsia" w:ascii="宋体" w:hAnsi="宋体" w:cs="宋体"/>
          <w:b/>
          <w:color w:val="000000"/>
          <w:sz w:val="44"/>
          <w:szCs w:val="44"/>
        </w:rPr>
      </w:pPr>
      <w:r>
        <w:rPr>
          <w:rFonts w:hint="eastAsia" w:ascii="宋体" w:hAnsi="宋体" w:cs="宋体"/>
          <w:b/>
          <w:color w:val="000000"/>
          <w:sz w:val="44"/>
          <w:szCs w:val="44"/>
        </w:rPr>
        <w:t>医用耗材</w:t>
      </w:r>
      <w:r>
        <w:rPr>
          <w:rFonts w:hint="eastAsia" w:ascii="宋体" w:hAnsi="宋体" w:cs="宋体"/>
          <w:b/>
          <w:color w:val="000000"/>
          <w:sz w:val="44"/>
          <w:szCs w:val="44"/>
          <w:lang w:eastAsia="zh-CN"/>
        </w:rPr>
        <w:t>、试剂</w:t>
      </w:r>
      <w:r>
        <w:rPr>
          <w:rFonts w:hint="eastAsia" w:ascii="宋体" w:hAnsi="宋体" w:cs="宋体"/>
          <w:b/>
          <w:color w:val="000000"/>
          <w:sz w:val="44"/>
          <w:szCs w:val="44"/>
        </w:rPr>
        <w:t>采购及相关服务合同书</w:t>
      </w:r>
    </w:p>
    <w:p w14:paraId="101EA613">
      <w:pPr>
        <w:jc w:val="center"/>
        <w:rPr>
          <w:rFonts w:hint="eastAsia" w:ascii="宋体" w:hAnsi="宋体" w:cs="宋体"/>
          <w:b/>
          <w:color w:val="000000"/>
          <w:sz w:val="44"/>
          <w:szCs w:val="44"/>
        </w:rPr>
      </w:pPr>
      <w:r>
        <w:rPr>
          <w:rFonts w:hint="eastAsia" w:ascii="宋体" w:hAnsi="宋体" w:cs="宋体"/>
          <w:b/>
          <w:color w:val="000000"/>
          <w:sz w:val="44"/>
          <w:szCs w:val="44"/>
        </w:rPr>
        <w:br w:type="textWrapping"/>
      </w:r>
    </w:p>
    <w:p w14:paraId="51710EEC">
      <w:pPr>
        <w:rPr>
          <w:rFonts w:hint="eastAsia" w:ascii="宋体" w:hAnsi="宋体" w:cs="宋体"/>
          <w:color w:val="000000"/>
          <w:sz w:val="28"/>
          <w:szCs w:val="28"/>
        </w:rPr>
      </w:pPr>
    </w:p>
    <w:p w14:paraId="3968917F">
      <w:pPr>
        <w:ind w:firstLine="280" w:firstLineChars="100"/>
        <w:rPr>
          <w:rFonts w:hint="eastAsia" w:ascii="宋体" w:hAnsi="宋体" w:cs="宋体"/>
          <w:color w:val="000000"/>
          <w:sz w:val="28"/>
          <w:szCs w:val="28"/>
        </w:rPr>
      </w:pPr>
    </w:p>
    <w:p w14:paraId="7C87F57B">
      <w:pPr>
        <w:ind w:firstLine="280" w:firstLineChars="100"/>
        <w:rPr>
          <w:rFonts w:hint="eastAsia" w:ascii="宋体" w:hAnsi="宋体" w:cs="宋体"/>
          <w:color w:val="000000"/>
          <w:sz w:val="28"/>
          <w:szCs w:val="28"/>
        </w:rPr>
      </w:pPr>
    </w:p>
    <w:p w14:paraId="6085AEB4">
      <w:pPr>
        <w:ind w:firstLine="280" w:firstLineChars="100"/>
        <w:rPr>
          <w:rFonts w:hint="eastAsia" w:ascii="宋体" w:hAnsi="宋体" w:cs="宋体"/>
          <w:color w:val="000000"/>
          <w:sz w:val="28"/>
          <w:szCs w:val="28"/>
        </w:rPr>
      </w:pPr>
    </w:p>
    <w:p w14:paraId="391272EE">
      <w:pPr>
        <w:ind w:firstLine="280" w:firstLineChars="100"/>
        <w:rPr>
          <w:rFonts w:hint="eastAsia" w:ascii="宋体" w:hAnsi="宋体" w:cs="宋体"/>
          <w:color w:val="000000"/>
          <w:sz w:val="28"/>
          <w:szCs w:val="28"/>
        </w:rPr>
      </w:pPr>
    </w:p>
    <w:p w14:paraId="6411E76F">
      <w:pPr>
        <w:ind w:firstLine="280" w:firstLineChars="100"/>
        <w:rPr>
          <w:rFonts w:hint="eastAsia" w:ascii="宋体" w:hAnsi="宋体" w:cs="宋体"/>
          <w:color w:val="000000"/>
          <w:sz w:val="28"/>
          <w:szCs w:val="28"/>
        </w:rPr>
      </w:pPr>
    </w:p>
    <w:p w14:paraId="38DA1CE1">
      <w:pPr>
        <w:ind w:firstLine="280" w:firstLineChars="100"/>
        <w:rPr>
          <w:rFonts w:hint="eastAsia" w:ascii="宋体" w:hAnsi="宋体" w:cs="宋体"/>
          <w:color w:val="000000"/>
          <w:sz w:val="28"/>
          <w:szCs w:val="28"/>
        </w:rPr>
      </w:pPr>
    </w:p>
    <w:p w14:paraId="3F9CFAFC">
      <w:pPr>
        <w:ind w:firstLine="280" w:firstLineChars="100"/>
        <w:rPr>
          <w:rFonts w:hint="eastAsia" w:ascii="宋体" w:hAnsi="宋体" w:cs="宋体"/>
          <w:color w:val="000000"/>
          <w:sz w:val="28"/>
          <w:szCs w:val="28"/>
        </w:rPr>
      </w:pPr>
    </w:p>
    <w:p w14:paraId="54D2C0BC">
      <w:pPr>
        <w:ind w:firstLine="280" w:firstLineChars="100"/>
        <w:rPr>
          <w:rFonts w:hint="eastAsia" w:ascii="宋体" w:hAnsi="宋体" w:cs="宋体"/>
          <w:color w:val="000000"/>
          <w:sz w:val="28"/>
          <w:szCs w:val="28"/>
        </w:rPr>
      </w:pPr>
    </w:p>
    <w:p w14:paraId="5DD7F3F7">
      <w:pPr>
        <w:rPr>
          <w:rFonts w:hint="eastAsia" w:ascii="宋体" w:hAnsi="宋体" w:cs="宋体"/>
          <w:color w:val="000000"/>
          <w:sz w:val="28"/>
          <w:szCs w:val="28"/>
        </w:rPr>
      </w:pPr>
    </w:p>
    <w:p w14:paraId="01994460">
      <w:pPr>
        <w:jc w:val="center"/>
        <w:rPr>
          <w:rFonts w:hint="eastAsia" w:ascii="宋体" w:hAnsi="宋体" w:cs="宋体"/>
          <w:b/>
          <w:color w:val="000000"/>
          <w:sz w:val="28"/>
          <w:szCs w:val="28"/>
        </w:rPr>
      </w:pPr>
      <w:r>
        <w:rPr>
          <w:rFonts w:hint="eastAsia" w:ascii="宋体" w:hAnsi="宋体" w:cs="宋体"/>
          <w:b/>
          <w:color w:val="FF0000"/>
          <w:sz w:val="36"/>
          <w:szCs w:val="36"/>
        </w:rPr>
        <w:t xml:space="preserve">签订日期: </w:t>
      </w:r>
      <w:r>
        <w:rPr>
          <w:rFonts w:ascii="宋体" w:hAnsi="宋体" w:cs="宋体"/>
          <w:b/>
          <w:color w:val="FF0000"/>
          <w:sz w:val="36"/>
          <w:szCs w:val="36"/>
        </w:rPr>
        <w:t>202</w:t>
      </w:r>
      <w:r>
        <w:rPr>
          <w:rFonts w:hint="eastAsia" w:ascii="宋体" w:hAnsi="宋体" w:cs="宋体"/>
          <w:b/>
          <w:color w:val="FF0000"/>
          <w:sz w:val="36"/>
          <w:szCs w:val="36"/>
          <w:lang w:val="en-US" w:eastAsia="zh-CN"/>
        </w:rPr>
        <w:t xml:space="preserve"> </w:t>
      </w:r>
      <w:r>
        <w:rPr>
          <w:rFonts w:hint="eastAsia" w:ascii="宋体" w:hAnsi="宋体" w:cs="宋体"/>
          <w:b/>
          <w:color w:val="FF0000"/>
          <w:sz w:val="36"/>
          <w:szCs w:val="36"/>
        </w:rPr>
        <w:t xml:space="preserve"> 年XX月XX日</w:t>
      </w:r>
      <w:r>
        <w:rPr>
          <w:rFonts w:hint="eastAsia" w:ascii="宋体" w:hAnsi="宋体" w:cs="宋体"/>
          <w:b/>
          <w:color w:val="000000"/>
          <w:sz w:val="36"/>
          <w:szCs w:val="36"/>
        </w:rPr>
        <w:t xml:space="preserve"> </w:t>
      </w:r>
      <w:r>
        <w:rPr>
          <w:rFonts w:hint="eastAsia" w:ascii="宋体" w:hAnsi="宋体" w:cs="宋体"/>
          <w:b/>
          <w:color w:val="000000"/>
          <w:sz w:val="36"/>
          <w:szCs w:val="36"/>
        </w:rPr>
        <w:br w:type="textWrapping"/>
      </w:r>
      <w:r>
        <w:rPr>
          <w:rFonts w:hint="eastAsia" w:ascii="宋体" w:hAnsi="宋体" w:cs="宋体"/>
          <w:b/>
          <w:color w:val="000000"/>
          <w:sz w:val="28"/>
          <w:szCs w:val="28"/>
        </w:rPr>
        <w:t>本合同须加盖甲乙双方骑缝章有效</w:t>
      </w:r>
    </w:p>
    <w:p w14:paraId="3B6E5B60">
      <w:pPr>
        <w:spacing w:line="500" w:lineRule="exact"/>
        <w:rPr>
          <w:rFonts w:hint="eastAsia" w:ascii="宋体" w:hAnsi="宋体" w:cs="宋体"/>
          <w:b/>
          <w:sz w:val="24"/>
        </w:rPr>
      </w:pPr>
    </w:p>
    <w:p w14:paraId="49AE7A64">
      <w:pPr>
        <w:spacing w:line="500" w:lineRule="exact"/>
        <w:jc w:val="center"/>
        <w:rPr>
          <w:rFonts w:hint="eastAsia" w:ascii="宋体" w:hAnsi="宋体" w:cs="宋体"/>
          <w:b/>
          <w:sz w:val="30"/>
          <w:szCs w:val="30"/>
        </w:rPr>
      </w:pPr>
      <w:r>
        <w:rPr>
          <w:rFonts w:hint="eastAsia" w:ascii="宋体" w:hAnsi="宋体" w:cs="宋体"/>
          <w:b/>
          <w:color w:val="000000"/>
          <w:sz w:val="44"/>
          <w:szCs w:val="44"/>
        </w:rPr>
        <w:t>医用耗材</w:t>
      </w:r>
      <w:r>
        <w:rPr>
          <w:rFonts w:hint="eastAsia" w:ascii="宋体" w:hAnsi="宋体" w:cs="宋体"/>
          <w:b/>
          <w:color w:val="000000"/>
          <w:sz w:val="44"/>
          <w:szCs w:val="44"/>
          <w:lang w:eastAsia="zh-CN"/>
        </w:rPr>
        <w:t>、试剂</w:t>
      </w:r>
      <w:r>
        <w:rPr>
          <w:rFonts w:hint="eastAsia" w:ascii="宋体" w:hAnsi="宋体" w:cs="宋体"/>
          <w:b/>
          <w:color w:val="000000"/>
          <w:sz w:val="44"/>
          <w:szCs w:val="44"/>
        </w:rPr>
        <w:t>采购及相关服务合同书</w:t>
      </w:r>
    </w:p>
    <w:p w14:paraId="30B24403">
      <w:pPr>
        <w:spacing w:line="360" w:lineRule="auto"/>
        <w:rPr>
          <w:rFonts w:hint="eastAsia" w:ascii="宋体" w:hAnsi="宋体" w:cs="宋体"/>
          <w:sz w:val="24"/>
        </w:rPr>
      </w:pPr>
      <w:r>
        <w:rPr>
          <w:rFonts w:hint="eastAsia" w:ascii="宋体" w:hAnsi="宋体" w:cs="宋体"/>
          <w:b/>
          <w:sz w:val="30"/>
          <w:szCs w:val="30"/>
        </w:rPr>
        <w:t>甲方:</w:t>
      </w:r>
      <w:r>
        <w:rPr>
          <w:rFonts w:hint="eastAsia" w:ascii="宋体" w:hAnsi="宋体" w:cs="宋体"/>
          <w:b/>
          <w:sz w:val="30"/>
          <w:szCs w:val="30"/>
          <w:u w:val="single"/>
        </w:rPr>
        <w:t xml:space="preserve"> 红河哈尼族彝族自治州第三人民医院</w:t>
      </w:r>
      <w:r>
        <w:rPr>
          <w:rFonts w:hint="eastAsia" w:ascii="宋体" w:hAnsi="宋体" w:cs="宋体"/>
          <w:sz w:val="30"/>
          <w:szCs w:val="30"/>
        </w:rPr>
        <w:t>(以下简称甲方</w:t>
      </w:r>
      <w:r>
        <w:rPr>
          <w:rFonts w:hint="eastAsia" w:ascii="宋体" w:hAnsi="宋体" w:cs="宋体"/>
          <w:sz w:val="24"/>
        </w:rPr>
        <w:t>)</w:t>
      </w:r>
    </w:p>
    <w:p w14:paraId="04A0C0DF">
      <w:pPr>
        <w:spacing w:line="360" w:lineRule="auto"/>
        <w:rPr>
          <w:rFonts w:hint="eastAsia" w:ascii="宋体" w:hAnsi="宋体" w:cs="宋体"/>
          <w:color w:val="FF0000"/>
          <w:sz w:val="30"/>
          <w:szCs w:val="30"/>
        </w:rPr>
      </w:pPr>
      <w:r>
        <w:rPr>
          <w:rFonts w:hint="eastAsia" w:ascii="宋体" w:hAnsi="宋体" w:cs="宋体"/>
          <w:b/>
          <w:color w:val="FF0000"/>
          <w:sz w:val="30"/>
          <w:szCs w:val="30"/>
        </w:rPr>
        <w:t>乙方:</w:t>
      </w:r>
      <w:r>
        <w:rPr>
          <w:rFonts w:hint="eastAsia" w:ascii="宋体" w:hAnsi="宋体" w:cs="宋体"/>
          <w:b/>
          <w:color w:val="FF0000"/>
          <w:sz w:val="30"/>
          <w:szCs w:val="30"/>
          <w:u w:val="single"/>
        </w:rPr>
        <w:t xml:space="preserve"> XXXX有限公司   </w:t>
      </w:r>
      <w:r>
        <w:rPr>
          <w:rFonts w:hint="eastAsia" w:ascii="宋体" w:hAnsi="宋体" w:cs="宋体"/>
          <w:color w:val="FF0000"/>
          <w:sz w:val="30"/>
          <w:szCs w:val="30"/>
        </w:rPr>
        <w:t>(以下简称乙方)</w:t>
      </w:r>
    </w:p>
    <w:p w14:paraId="0D8512CD">
      <w:pPr>
        <w:spacing w:line="360" w:lineRule="auto"/>
        <w:jc w:val="left"/>
        <w:rPr>
          <w:rFonts w:hint="eastAsia" w:ascii="宋体" w:hAnsi="宋体" w:eastAsia="宋体" w:cs="宋体"/>
          <w:sz w:val="24"/>
          <w:szCs w:val="24"/>
        </w:rPr>
      </w:pPr>
      <w:r>
        <w:rPr>
          <w:rFonts w:hint="eastAsia" w:ascii="宋体" w:hAnsi="宋体" w:cs="宋体"/>
          <w:sz w:val="24"/>
        </w:rPr>
        <w:t xml:space="preserve">  </w:t>
      </w:r>
      <w:r>
        <w:rPr>
          <w:rFonts w:ascii="宋体" w:hAnsi="宋体" w:cs="宋体"/>
          <w:sz w:val="24"/>
        </w:rPr>
        <w:t xml:space="preserve"> </w:t>
      </w:r>
      <w:r>
        <w:rPr>
          <w:rFonts w:hint="eastAsia" w:ascii="宋体" w:hAnsi="宋体" w:eastAsia="宋体" w:cs="宋体"/>
          <w:sz w:val="24"/>
          <w:szCs w:val="24"/>
        </w:rPr>
        <w:t xml:space="preserve">  甲乙双方根据项目编号为</w:t>
      </w:r>
      <w:r>
        <w:rPr>
          <w:rFonts w:hint="eastAsia" w:ascii="宋体" w:hAnsi="宋体" w:eastAsia="宋体" w:cs="宋体"/>
          <w:b/>
          <w:bCs/>
          <w:color w:val="FF0000"/>
          <w:sz w:val="24"/>
          <w:szCs w:val="24"/>
          <w:u w:val="single"/>
          <w:lang w:val="en-US" w:eastAsia="zh-CN"/>
        </w:rPr>
        <w:t xml:space="preserve">                       </w:t>
      </w:r>
      <w:r>
        <w:rPr>
          <w:rFonts w:hint="eastAsia" w:ascii="宋体" w:hAnsi="宋体" w:eastAsia="宋体" w:cs="宋体"/>
          <w:b/>
          <w:bCs/>
          <w:color w:val="FF0000"/>
          <w:sz w:val="24"/>
          <w:szCs w:val="24"/>
          <w:u w:val="single"/>
        </w:rPr>
        <w:t xml:space="preserve"> </w:t>
      </w:r>
      <w:r>
        <w:rPr>
          <w:rFonts w:hint="eastAsia" w:ascii="宋体" w:hAnsi="宋体" w:eastAsia="宋体" w:cs="宋体"/>
          <w:b/>
          <w:bCs/>
          <w:sz w:val="24"/>
          <w:szCs w:val="24"/>
          <w:u w:val="none"/>
          <w:lang w:eastAsia="zh-CN"/>
        </w:rPr>
        <w:t>，</w:t>
      </w:r>
      <w:r>
        <w:rPr>
          <w:rFonts w:hint="eastAsia" w:ascii="宋体" w:hAnsi="宋体" w:eastAsia="宋体" w:cs="宋体"/>
          <w:b w:val="0"/>
          <w:bCs w:val="0"/>
          <w:sz w:val="24"/>
          <w:szCs w:val="24"/>
          <w:u w:val="none"/>
          <w:lang w:val="en-US" w:eastAsia="zh-CN"/>
        </w:rPr>
        <w:t>项目名称：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w:t>
      </w:r>
      <w:r>
        <w:rPr>
          <w:rFonts w:hint="eastAsia" w:ascii="宋体" w:hAnsi="宋体" w:eastAsia="宋体" w:cs="宋体"/>
          <w:sz w:val="24"/>
          <w:szCs w:val="24"/>
        </w:rPr>
        <w:t>采购结果，依据《中华人民共和国民法典》、《医疗器械监督管理条例》等相关法律法规并严格遵循本项目采购公告、采购文件、中标人投标文件、相关规定和相关承诺，为了保护甲乙双方的合法权益，经双方协定一致，签订本合同，并共同遵守。</w:t>
      </w:r>
    </w:p>
    <w:p w14:paraId="0581E5A2">
      <w:pPr>
        <w:pStyle w:val="6"/>
        <w:ind w:firstLine="482" w:firstLineChars="200"/>
        <w:rPr>
          <w:rFonts w:hint="eastAsia" w:ascii="宋体" w:hAnsi="宋体" w:eastAsia="宋体" w:cs="宋体"/>
          <w:sz w:val="24"/>
          <w:szCs w:val="24"/>
        </w:rPr>
      </w:pPr>
      <w:r>
        <w:rPr>
          <w:rFonts w:hint="eastAsia" w:ascii="宋体" w:hAnsi="宋体" w:eastAsia="宋体" w:cs="宋体"/>
          <w:b/>
          <w:sz w:val="24"/>
          <w:szCs w:val="24"/>
        </w:rPr>
        <w:t>一、合同标的</w:t>
      </w:r>
      <w:r>
        <w:rPr>
          <w:rFonts w:hint="eastAsia" w:ascii="宋体" w:hAnsi="宋体" w:eastAsia="宋体" w:cs="宋体"/>
          <w:sz w:val="24"/>
          <w:szCs w:val="24"/>
        </w:rPr>
        <w:t>（产品名称，品牌、生产企业、规格型号、中标供货价等）</w:t>
      </w:r>
    </w:p>
    <w:p w14:paraId="568812D1">
      <w:pPr>
        <w:pStyle w:val="6"/>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详见合同附件供货目录</w:t>
      </w:r>
    </w:p>
    <w:p w14:paraId="4C737EEC">
      <w:pPr>
        <w:pStyle w:val="6"/>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二、履约期限</w:t>
      </w:r>
    </w:p>
    <w:p w14:paraId="1C4AE8EB">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1.项目履约期限：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年（202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日至202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13F31680">
      <w:pPr>
        <w:pStyle w:val="32"/>
        <w:spacing w:line="36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2. 中标单位在协议期内供货率98％以上，合格率100％。否则甲方有权另行采购或终止协议、或进行经济处罚。</w:t>
      </w:r>
    </w:p>
    <w:p w14:paraId="3F7B56A9">
      <w:pPr>
        <w:pStyle w:val="6"/>
        <w:spacing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三、结算及支付方式</w:t>
      </w:r>
    </w:p>
    <w:p w14:paraId="38C9E78D">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账期6个月（例如7月付1月的款，8月付2月的款，以此类推），甲、乙双方对账结算，办理货款。甲方在收到乙方开具的正规增值税发票及销货清单后按账期办理付款手续。若成交供应商为中小企业（中型企业、小型企业和微型企业）则遵从《保障中小企业款项支付条例》执行。</w:t>
      </w:r>
    </w:p>
    <w:p w14:paraId="657C9FEA">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2.款项汇入乙方指定的银行和帐号。</w:t>
      </w:r>
    </w:p>
    <w:p w14:paraId="67F25DE1">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3.甲方基本开户信息：</w:t>
      </w:r>
    </w:p>
    <w:p w14:paraId="0F061AA8">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户名：红河哈尼族彝族自治州第三人民医院</w:t>
      </w:r>
    </w:p>
    <w:p w14:paraId="6D4D9C2C">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纳税人识别号：12532500G86417697A</w:t>
      </w:r>
    </w:p>
    <w:p w14:paraId="6255CA77">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地址：红河州个旧市金湖东路229号</w:t>
      </w:r>
    </w:p>
    <w:p w14:paraId="4BB40D49">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电话：2129098</w:t>
      </w:r>
    </w:p>
    <w:p w14:paraId="0605C79B">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开户行：中国建设银行股份有限公司个旧市支行</w:t>
      </w:r>
    </w:p>
    <w:p w14:paraId="6AB8066B">
      <w:pPr>
        <w:pStyle w:val="19"/>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账号：53001666140059222222</w:t>
      </w:r>
    </w:p>
    <w:p w14:paraId="6F59AC2A">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4、乙方基本开户信息：</w:t>
      </w:r>
    </w:p>
    <w:p w14:paraId="6E4F4C5D">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户名：XXXX有限公司</w:t>
      </w:r>
    </w:p>
    <w:p w14:paraId="0F6F5ED2">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纳税人识别号：</w:t>
      </w:r>
    </w:p>
    <w:p w14:paraId="60577826">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 xml:space="preserve">地址： </w:t>
      </w:r>
    </w:p>
    <w:p w14:paraId="10719FB4">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电话：</w:t>
      </w:r>
    </w:p>
    <w:p w14:paraId="77117063">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 xml:space="preserve">开户行： </w:t>
      </w:r>
    </w:p>
    <w:p w14:paraId="7B8CA2DA">
      <w:pPr>
        <w:pStyle w:val="19"/>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账号:</w:t>
      </w:r>
    </w:p>
    <w:p w14:paraId="378AC88F">
      <w:pPr>
        <w:pStyle w:val="6"/>
        <w:numPr>
          <w:ilvl w:val="0"/>
          <w:numId w:val="3"/>
        </w:num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履约保证金：无</w:t>
      </w:r>
    </w:p>
    <w:p w14:paraId="4B0E0B4E">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五、质量标准</w:t>
      </w:r>
    </w:p>
    <w:p w14:paraId="0E2C2E42">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1.乙方配送医用耗材质量符合国家和行业规定（进口产品具有国家有关部门批准进口完整手续）。</w:t>
      </w:r>
    </w:p>
    <w:p w14:paraId="1B8E1077">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2.医用耗材品牌、规格、技术参数等必须与投标文件和承诺相一致。</w:t>
      </w:r>
    </w:p>
    <w:p w14:paraId="44C94B9A">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3.必须是全新、未使用过的原装产品，且在正常使用和存储条件下，有效期内各项指标均达到质量要求。</w:t>
      </w:r>
    </w:p>
    <w:p w14:paraId="79DB1BF8">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六、双方的权利和义务</w:t>
      </w:r>
    </w:p>
    <w:p w14:paraId="65CC4EFC">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w:t>
      </w:r>
    </w:p>
    <w:p w14:paraId="3D7DFBB9">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1.甲方根据库存及临床需要按照双方约定《供货目录》及时制定采购计划，后报乙方。</w:t>
      </w:r>
    </w:p>
    <w:p w14:paraId="3E91C317">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2.甲方对乙方送达的医用耗材，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个工作日</w:t>
      </w:r>
      <w:r>
        <w:rPr>
          <w:rFonts w:hint="eastAsia" w:ascii="宋体" w:hAnsi="宋体" w:eastAsia="宋体" w:cs="宋体"/>
          <w:sz w:val="24"/>
          <w:szCs w:val="24"/>
        </w:rPr>
        <w:t>内完成验收和入库，发现不符合验收规定的，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个工作日</w:t>
      </w:r>
      <w:r>
        <w:rPr>
          <w:rFonts w:hint="eastAsia" w:ascii="宋体" w:hAnsi="宋体" w:eastAsia="宋体" w:cs="宋体"/>
          <w:sz w:val="24"/>
          <w:szCs w:val="24"/>
        </w:rPr>
        <w:t xml:space="preserve"> 内向乙方反馈并处理。逾期未组织验收的，视为甲方已验收合格。</w:t>
      </w:r>
    </w:p>
    <w:p w14:paraId="1560D4A5">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符合规定的存放乙方配送耗材的场地和环境，按要求对医用耗材进行储存和养护，保证乙方在库耗材储存条件符合国家规定，乙方可在合同签订前对场地和环境进行考察，合同一旦签订即视为乙方认可甲方的场地和环境符合规定和要求。</w:t>
      </w:r>
    </w:p>
    <w:p w14:paraId="6B0CD002">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4.配合定期和乙方完成滞销、近效期医用耗材退换工作。</w:t>
      </w:r>
    </w:p>
    <w:p w14:paraId="682EB859">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5.配合乙方完成对账工作，按约定账期结支付货款。</w:t>
      </w:r>
    </w:p>
    <w:p w14:paraId="1A24A4A0">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6.定期对乙方配送医用耗材质量情况进行评价。</w:t>
      </w:r>
    </w:p>
    <w:p w14:paraId="671CEF42">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w:t>
      </w:r>
    </w:p>
    <w:p w14:paraId="2FF45A74">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必须是合法的医疗器械生产或经营企业，向甲方提供加盖乙方红色印章的：（1）《医疗器械经营许可证》或《医疗器械生产许可证》及《营业执照》复印件；（2）业务员法人授权委托书原件及业务员身份证复印件；（3）供货品种的《医疗器械注册证》及附件（《医疗器械注册证登记表》或《医疗器械医用耗材制造认可表》）复印件等。</w:t>
      </w:r>
    </w:p>
    <w:p w14:paraId="2D96C395">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经营的医用耗材严格按照国家相关规定进行管理和配送，配送医用耗材不得超出乙方《医疗器械经营许可证》规定范围，为甲方提供的是合法企业生产的符合国家质量标准合格的医用耗材，坚决杜绝假冒伪劣产品进入甲方。如果甲方在使用乙方提供医用耗材过程中或有效期内出现质量问题（非甲方储存和养护不当原因），乙方负责承担因此产生的一切责任(包括经济、民事、法律)。</w:t>
      </w:r>
    </w:p>
    <w:p w14:paraId="5ABD5880">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属于云南省阳光平台、集中采购平台的品种须按照规定从平台点击配送，按照国家相关政策执行，并提供平台产品流水号、医保号等信息。</w:t>
      </w:r>
    </w:p>
    <w:p w14:paraId="5BF5810B">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配套设备使用的耗材须与医院在用设备相匹配，以确保投标耗材正常使用。</w:t>
      </w:r>
    </w:p>
    <w:p w14:paraId="3BC57F97">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骨科类、介入类耗材，骨科手术、介入手术需要乙方提供手术专用配套器械工具（已消毒的）和配套服务。</w:t>
      </w:r>
    </w:p>
    <w:p w14:paraId="62380B6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提供公司及中标产品全部资质证件，纸质版、电子版各一份，制作目录，按照目录装盒，（目录包含品名、规格、厂牌、注册证号、注册日期、器械、有效期、失效日期）、医保流水号、阳光平台流水号、集采带量流水号等并负责更新、维护，保证不过期失效。</w:t>
      </w:r>
    </w:p>
    <w:p w14:paraId="3FB7ACA1">
      <w:pPr>
        <w:pStyle w:val="6"/>
        <w:rPr>
          <w:rFonts w:hint="eastAsia" w:ascii="宋体" w:hAnsi="宋体" w:eastAsia="宋体" w:cs="宋体"/>
          <w:sz w:val="24"/>
          <w:szCs w:val="24"/>
        </w:rPr>
      </w:pPr>
      <w:r>
        <w:rPr>
          <w:rFonts w:hint="eastAsia" w:ascii="宋体" w:hAnsi="宋体" w:eastAsia="宋体" w:cs="宋体"/>
          <w:sz w:val="24"/>
          <w:szCs w:val="24"/>
        </w:rPr>
        <w:t>并按照甲方电子化管理要求将相关资料扫描、上传。</w:t>
      </w:r>
    </w:p>
    <w:p w14:paraId="74AD3287">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配送医用耗材必须符合入库验收相关规定，即验收过程中发现与甲方所报采购计划要求的品种、品牌、规格、数量、价格、质量标准不符或外包装损坏、污染、变形及未按要求冷链运输、储存等其中任何一项不符合国家和甲方医用耗材验收、入库制度的，甲方有权拒收，乙方必须无条件处理至符合验收相关标准。</w:t>
      </w:r>
    </w:p>
    <w:p w14:paraId="26D97303">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甲方医学装备科为货物的唯一收货人，乙方对除甲方医学装备科外的任何个人或部门供货，甲方一律不予验收及付款。需直接送到甲方使用科室的医用耗材，到货时乙方须通知甲方医学装备科相关人员到使用科室进行验收，不经甲方医学装备科人员到使用科室现场验收并签字确认的甲方不予支付货款。</w:t>
      </w:r>
    </w:p>
    <w:p w14:paraId="55C33AFD">
      <w:pPr>
        <w:pStyle w:val="6"/>
        <w:spacing w:line="360" w:lineRule="auto"/>
        <w:ind w:firstLine="480" w:firstLineChars="200"/>
        <w:rPr>
          <w:rFonts w:hint="eastAsia" w:ascii="宋体" w:hAnsi="宋体" w:eastAsia="宋体" w:cs="宋体"/>
          <w:sz w:val="24"/>
          <w:szCs w:val="24"/>
          <w:highlight w:val="red"/>
        </w:rPr>
      </w:pPr>
      <w:r>
        <w:rPr>
          <w:rFonts w:hint="eastAsia" w:ascii="宋体" w:hAnsi="宋体" w:eastAsia="宋体" w:cs="宋体"/>
          <w:sz w:val="24"/>
          <w:szCs w:val="24"/>
        </w:rPr>
        <w:t>6.乙方提供的医用耗材规定有效期的，距失效期要求在有效期限五分之四以上，特殊原因上述期限不到的必须事先征得甲方同意方可配送。</w:t>
      </w:r>
    </w:p>
    <w:p w14:paraId="292DDAA4">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7.乙方供给甲方医用耗材价格按合同执行，若因国家政策要求降价的，甲方新订购（或国家规定执行时间起）医用耗材的价格按国家政策要求降价后的价格执行。</w:t>
      </w:r>
    </w:p>
    <w:p w14:paraId="3E6636FC">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8.甲方根据临床需要适时做出采购计划，有效期低于2个月的医用耗材，乙方无条件为甲方作退货处理或调换成有效期更长的产品。</w:t>
      </w:r>
    </w:p>
    <w:p w14:paraId="19273CB5">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合同履行期间，为保证医用耗材质量，甲方认为必要时通知乙方后有权请质检及相关部门对乙方配送医用耗材进行检验，检验样品及费用由乙方承担。上级卫生主管或药监部门抽检乙方配送医用耗材，产生的检验费用和抽检数量由乙方承担。</w:t>
      </w:r>
    </w:p>
    <w:p w14:paraId="29B4B6F6">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10.合同履行期间，若政府管理部门要求医用耗材采购执行两票制的，必须按要求执行，不能执行的，甲方书面通知乙方后有权终止合同。</w:t>
      </w:r>
    </w:p>
    <w:p w14:paraId="6F7FFBF8">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11.在合同履行期间，若政府出台管理政策与本合同不符的，按政府政策执行，甲方有权书面通知乙方后终止合同，且不对乙方进行补偿。</w:t>
      </w:r>
    </w:p>
    <w:p w14:paraId="7716DFCF">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12.在合同期内乙方配送医用耗材出现两次以上因质量问题退货或两次以上逾期交货的，</w:t>
      </w:r>
      <w:r>
        <w:rPr>
          <w:rFonts w:hint="eastAsia" w:ascii="宋体" w:hAnsi="宋体" w:eastAsia="宋体" w:cs="宋体"/>
          <w:sz w:val="24"/>
          <w:szCs w:val="24"/>
          <w:lang w:val="en-US" w:eastAsia="zh-CN"/>
        </w:rPr>
        <w:t>或不符合甲方使用需求的，</w:t>
      </w:r>
      <w:r>
        <w:rPr>
          <w:rFonts w:hint="eastAsia" w:ascii="宋体" w:hAnsi="宋体" w:eastAsia="宋体" w:cs="宋体"/>
          <w:sz w:val="24"/>
          <w:szCs w:val="24"/>
        </w:rPr>
        <w:t>甲方可要求乙方提供品质更好的品牌（</w:t>
      </w:r>
      <w:r>
        <w:rPr>
          <w:rFonts w:hint="eastAsia" w:ascii="宋体" w:hAnsi="宋体" w:eastAsia="宋体" w:cs="宋体"/>
          <w:b/>
          <w:bCs/>
          <w:sz w:val="24"/>
          <w:szCs w:val="24"/>
        </w:rPr>
        <w:t>供货价格不变</w:t>
      </w:r>
      <w:r>
        <w:rPr>
          <w:rFonts w:hint="eastAsia" w:ascii="宋体" w:hAnsi="宋体" w:eastAsia="宋体" w:cs="宋体"/>
          <w:sz w:val="24"/>
          <w:szCs w:val="24"/>
        </w:rPr>
        <w:t>）或限期整改，如乙方在整改期间或整改后仍出现同样问题两次以上，甲方有权解除本合同。乙方提供的替代产品由甲方的采购项目管理办公室协同医学装备科、财务科、医务科、护理部、感控科、纪检审计部门以及使用部门共同确定后，签订补充协议</w:t>
      </w:r>
      <w:r>
        <w:rPr>
          <w:rFonts w:hint="eastAsia" w:ascii="宋体" w:hAnsi="宋体" w:eastAsia="宋体" w:cs="宋体"/>
          <w:b/>
          <w:bCs/>
          <w:sz w:val="24"/>
          <w:szCs w:val="24"/>
        </w:rPr>
        <w:t>（替代产品供货价格不作调整，按中标价格实施）</w:t>
      </w:r>
      <w:r>
        <w:rPr>
          <w:rFonts w:hint="eastAsia" w:ascii="宋体" w:hAnsi="宋体" w:eastAsia="宋体" w:cs="宋体"/>
          <w:sz w:val="24"/>
          <w:szCs w:val="24"/>
        </w:rPr>
        <w:t xml:space="preserve">。 </w:t>
      </w:r>
    </w:p>
    <w:p w14:paraId="737012F1">
      <w:pPr>
        <w:rPr>
          <w:rFonts w:hint="eastAsia" w:ascii="宋体" w:hAnsi="宋体" w:eastAsia="宋体" w:cs="宋体"/>
          <w:b/>
          <w:bCs/>
          <w:sz w:val="24"/>
          <w:szCs w:val="24"/>
        </w:rPr>
      </w:pPr>
      <w:r>
        <w:rPr>
          <w:rFonts w:hint="eastAsia" w:ascii="宋体" w:hAnsi="宋体" w:eastAsia="宋体" w:cs="宋体"/>
          <w:sz w:val="24"/>
          <w:szCs w:val="24"/>
        </w:rPr>
        <w:t xml:space="preserve">     13.</w:t>
      </w:r>
      <w:r>
        <w:rPr>
          <w:rFonts w:hint="eastAsia" w:ascii="宋体" w:hAnsi="宋体" w:eastAsia="宋体" w:cs="宋体"/>
          <w:b/>
          <w:bCs/>
          <w:sz w:val="24"/>
          <w:szCs w:val="24"/>
        </w:rPr>
        <w:t>承诺配合采购人物流延伸服务公司，信息管理服务费用按每月耗材（非集采品种）实际使用金额2.5%计(若遇信息服务机构下调服务费的，以下调后的比例计) 自行支付给信息服务机构，账期6个月。</w:t>
      </w:r>
    </w:p>
    <w:p w14:paraId="7C209670">
      <w:pPr>
        <w:pStyle w:val="6"/>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14.</w:t>
      </w:r>
      <w:r>
        <w:rPr>
          <w:rFonts w:hint="eastAsia" w:ascii="宋体" w:hAnsi="宋体" w:eastAsia="宋体" w:cs="宋体"/>
          <w:b/>
          <w:bCs/>
          <w:sz w:val="24"/>
          <w:szCs w:val="24"/>
        </w:rPr>
        <w:t>交货时间：根据采购人的电话或其他电文通知后，急需产品需在2小时内送到，</w:t>
      </w:r>
      <w:r>
        <w:rPr>
          <w:rFonts w:hint="eastAsia" w:ascii="宋体" w:hAnsi="宋体" w:eastAsia="宋体" w:cs="宋体"/>
          <w:b/>
          <w:bCs/>
          <w:kern w:val="0"/>
          <w:sz w:val="24"/>
          <w:szCs w:val="24"/>
        </w:rPr>
        <w:t>非紧急情况</w:t>
      </w:r>
      <w:r>
        <w:rPr>
          <w:rFonts w:hint="eastAsia" w:ascii="宋体" w:hAnsi="宋体" w:eastAsia="宋体" w:cs="宋体"/>
          <w:b/>
          <w:bCs/>
          <w:sz w:val="24"/>
          <w:szCs w:val="24"/>
        </w:rPr>
        <w:t>产品最长不超过2个工作日，急需产品节假日照常配送。采购物品和数量以采购人订单的通知为准。如乙方不能按甲方要求及时供货，甲方有权另行向其他供应商采购。</w:t>
      </w:r>
    </w:p>
    <w:p w14:paraId="7FEFFCF0">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15.合同期内按乙方投标文件售后方案承诺完成各项工作。</w:t>
      </w:r>
    </w:p>
    <w:p w14:paraId="1B17CBDC">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七、违约责任</w:t>
      </w:r>
    </w:p>
    <w:p w14:paraId="1DB11D12">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1.在执行合同时，乙方如未遵守上述“六（二）条款约定，甲方书面通知10个工作日乙方仍不解决的，甲方有权不支付未结货款至终止本合同且不承担任何责任。</w:t>
      </w:r>
    </w:p>
    <w:p w14:paraId="11619733">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2.如甲方使用乙方配送医用耗材被国家相关部门查处，乙方必须承担相关法律、行政、民事和经济责任，承担由此给甲方造成的经济损失，并为甲方挽回不良影响。</w:t>
      </w:r>
    </w:p>
    <w:p w14:paraId="584D53A0">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3.乙方提供的医用耗材与采购文件、投标文件、合同要求不相符合的，甲方有权拒收，乙方承担甲方因此造成的直接和间接损失。</w:t>
      </w:r>
    </w:p>
    <w:p w14:paraId="02A6A9FF">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4.甲方无正当理由拒绝验收、逾期支付合同款的，甲方承担相应的违约责任。</w:t>
      </w:r>
    </w:p>
    <w:p w14:paraId="64B4195F">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八、不可抗力事件处理</w:t>
      </w:r>
    </w:p>
    <w:p w14:paraId="44BBF376">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1．本合同所指不可抗力，是指不能预见、不能避免并不能克服的客观情况。</w:t>
      </w:r>
    </w:p>
    <w:p w14:paraId="50A7E476">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不可抗力事件，致使一方在履行其在本合同项下的义务过程中遇到障碍或延误，不能按规定的条款全部或部分履行其义务的，遇到不可抗力事件的一方（“受阻方”），只要满足下列所有条件，不应视为违反本合同：</w:t>
      </w:r>
    </w:p>
    <w:p w14:paraId="23522D4E">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（1）受阻方不能全部或部分履行其义务，是由于不可抗力事件直接造成的，且在不可抗力发生前受阻方不存在迟延履行相关义务的情形。</w:t>
      </w:r>
    </w:p>
    <w:p w14:paraId="0350AABC">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（2）受阻方已尽最大努力履行其义务并减少由于不可抗力事件给另一方造成的损失。</w:t>
      </w:r>
    </w:p>
    <w:p w14:paraId="7F840F76">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（3）不可抗力事件发生时,受阻方已立即通知对方并寄送有关权威机构出具的证明，并在不可抗力事件发生后的</w:t>
      </w:r>
      <w:r>
        <w:rPr>
          <w:rFonts w:hint="eastAsia" w:ascii="宋体" w:hAnsi="宋体" w:eastAsia="宋体" w:cs="宋体"/>
          <w:sz w:val="24"/>
          <w:szCs w:val="24"/>
          <w:u w:val="single"/>
        </w:rPr>
        <w:t>15天内</w:t>
      </w:r>
      <w:r>
        <w:rPr>
          <w:rFonts w:hint="eastAsia" w:ascii="宋体" w:hAnsi="宋体" w:eastAsia="宋体" w:cs="宋体"/>
          <w:sz w:val="24"/>
          <w:szCs w:val="24"/>
        </w:rPr>
        <w:t>提供有关该事件的公证文书和书面说明，书面说明中应包括对延迟履行或部分履行本合同的原因说明。</w:t>
      </w:r>
    </w:p>
    <w:p w14:paraId="16C5A3FA">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w:t>
      </w:r>
      <w:r>
        <w:rPr>
          <w:rFonts w:hint="eastAsia" w:ascii="宋体" w:hAnsi="宋体" w:eastAsia="宋体" w:cs="宋体"/>
          <w:sz w:val="24"/>
          <w:szCs w:val="24"/>
          <w:u w:val="single"/>
        </w:rPr>
        <w:t>30天</w:t>
      </w:r>
      <w:r>
        <w:rPr>
          <w:rFonts w:hint="eastAsia" w:ascii="宋体" w:hAnsi="宋体" w:eastAsia="宋体" w:cs="宋体"/>
          <w:sz w:val="24"/>
          <w:szCs w:val="24"/>
        </w:rPr>
        <w:t>以上，双方应通过友好协商，确定是否继续履行合同。</w:t>
      </w:r>
    </w:p>
    <w:p w14:paraId="24B2DB92">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九、解决争议的方式</w:t>
      </w:r>
    </w:p>
    <w:p w14:paraId="268EF2C6">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甲乙双方在履行合同过程中发生纠纷的，双方应本着互谅互让、互相尊重、和平友好的原则结合实际依法协商解决，如协商不成，可向甲方所在地人民法院提请诉讼。</w:t>
      </w:r>
    </w:p>
    <w:p w14:paraId="3E4D077B">
      <w:pPr>
        <w:widowControl/>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十、合同生效及其他</w:t>
      </w:r>
    </w:p>
    <w:p w14:paraId="5D675EE8">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1.未经双方书面确认，任何一方不得变更或修改本合同。</w:t>
      </w:r>
    </w:p>
    <w:p w14:paraId="2CC77B02">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对于本合同未尽事宜，按国家《中华人民共和国民法典》有关条文执行。任何双方认可的对本合同中有关问题作出补充、说明、解释、修改应以补充协议的方式书面体现。补充协议和附件为其不可分的部分，与本合同具有同等法律效力。</w:t>
      </w:r>
    </w:p>
    <w:p w14:paraId="1116E110">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合同经双方法定代表人或法人授权人签字并加盖单位公章(合同章)后生效。共一式</w:t>
      </w:r>
      <w:r>
        <w:rPr>
          <w:rFonts w:hint="eastAsia" w:ascii="宋体" w:hAnsi="宋体" w:eastAsia="宋体" w:cs="宋体"/>
          <w:sz w:val="24"/>
          <w:szCs w:val="24"/>
          <w:u w:val="single"/>
        </w:rPr>
        <w:t>陆</w:t>
      </w:r>
      <w:r>
        <w:rPr>
          <w:rFonts w:hint="eastAsia" w:ascii="宋体" w:hAnsi="宋体" w:eastAsia="宋体" w:cs="宋体"/>
          <w:sz w:val="24"/>
          <w:szCs w:val="24"/>
        </w:rPr>
        <w:t>份，甲方</w:t>
      </w:r>
      <w:r>
        <w:rPr>
          <w:rFonts w:hint="eastAsia" w:ascii="宋体" w:hAnsi="宋体" w:eastAsia="宋体" w:cs="宋体"/>
          <w:sz w:val="24"/>
          <w:szCs w:val="24"/>
          <w:u w:val="single"/>
        </w:rPr>
        <w:t>肆</w:t>
      </w:r>
      <w:r>
        <w:rPr>
          <w:rFonts w:hint="eastAsia" w:ascii="宋体" w:hAnsi="宋体" w:eastAsia="宋体" w:cs="宋体"/>
          <w:sz w:val="24"/>
          <w:szCs w:val="24"/>
        </w:rPr>
        <w:t>份，乙方</w:t>
      </w:r>
      <w:r>
        <w:rPr>
          <w:rFonts w:hint="eastAsia" w:ascii="宋体" w:hAnsi="宋体" w:eastAsia="宋体" w:cs="宋体"/>
          <w:sz w:val="24"/>
          <w:szCs w:val="24"/>
          <w:u w:val="single"/>
        </w:rPr>
        <w:t>贰</w:t>
      </w:r>
      <w:r>
        <w:rPr>
          <w:rFonts w:hint="eastAsia" w:ascii="宋体" w:hAnsi="宋体" w:eastAsia="宋体" w:cs="宋体"/>
          <w:sz w:val="24"/>
          <w:szCs w:val="24"/>
        </w:rPr>
        <w:t>份。</w:t>
      </w:r>
    </w:p>
    <w:p w14:paraId="239B3533">
      <w:pPr>
        <w:widowControl/>
        <w:adjustRightInd w:val="0"/>
        <w:snapToGrid w:val="0"/>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sz w:val="24"/>
          <w:szCs w:val="24"/>
        </w:rPr>
        <w:t>4.本合同不可分割之部分：招标文件、投标文件、中标通知书（原件）。</w:t>
      </w:r>
      <w:bookmarkStart w:id="236" w:name="_Hlk19624814"/>
    </w:p>
    <w:p w14:paraId="1ED6A21E">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甲方单位： （盖章）                乙方单位：（盖章）      </w:t>
      </w:r>
    </w:p>
    <w:p w14:paraId="3EDDCAC5">
      <w:pPr>
        <w:widowControl/>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 定 代 表 人  ：                   法 定 代 表 人：</w:t>
      </w:r>
    </w:p>
    <w:p w14:paraId="46F23446">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（或授权代理人）签字：              （或授权代理人）签字：</w:t>
      </w:r>
    </w:p>
    <w:p w14:paraId="3E2D2196">
      <w:pPr>
        <w:tabs>
          <w:tab w:val="left" w:pos="2980"/>
        </w:tabs>
        <w:spacing w:line="360" w:lineRule="auto"/>
        <w:ind w:right="560"/>
        <w:rPr>
          <w:rFonts w:hint="eastAsia" w:ascii="宋体" w:hAnsi="宋体" w:eastAsia="宋体" w:cs="宋体"/>
          <w:kern w:val="0"/>
          <w:sz w:val="24"/>
          <w:szCs w:val="24"/>
        </w:rPr>
      </w:pPr>
      <w:r>
        <w:rPr>
          <w:rFonts w:hint="eastAsia" w:ascii="宋体" w:hAnsi="宋体" w:eastAsia="宋体" w:cs="宋体"/>
          <w:kern w:val="0"/>
          <w:sz w:val="24"/>
          <w:szCs w:val="24"/>
        </w:rPr>
        <w:t xml:space="preserve">  联系电话：                           联系电话：</w:t>
      </w:r>
    </w:p>
    <w:p w14:paraId="1DE4D235">
      <w:pPr>
        <w:tabs>
          <w:tab w:val="left" w:pos="2980"/>
        </w:tabs>
        <w:spacing w:line="360" w:lineRule="auto"/>
        <w:ind w:right="560"/>
        <w:rPr>
          <w:rFonts w:hint="eastAsia" w:ascii="宋体" w:hAnsi="宋体" w:eastAsia="宋体" w:cs="宋体"/>
          <w:sz w:val="24"/>
          <w:szCs w:val="24"/>
        </w:rPr>
      </w:pPr>
      <w:r>
        <w:rPr>
          <w:rFonts w:hint="eastAsia" w:ascii="宋体" w:hAnsi="宋体" w:eastAsia="宋体" w:cs="宋体"/>
          <w:kern w:val="0"/>
          <w:sz w:val="24"/>
          <w:szCs w:val="24"/>
        </w:rPr>
        <w:t xml:space="preserve">   2024年   月   日                   2024年    月  日</w:t>
      </w:r>
      <w:bookmarkEnd w:id="236"/>
    </w:p>
    <w:p w14:paraId="23AF320D">
      <w:pPr>
        <w:rPr>
          <w:rFonts w:hint="eastAsia" w:ascii="宋体" w:hAnsi="宋体" w:cs="宋体"/>
          <w:color w:val="auto"/>
          <w:highlight w:val="none"/>
          <w:lang w:eastAsia="zh-CN"/>
        </w:rPr>
      </w:pPr>
      <w:r>
        <w:rPr>
          <w:rFonts w:hint="eastAsia" w:ascii="宋体" w:hAnsi="宋体" w:cs="宋体"/>
          <w:color w:val="auto"/>
          <w:highlight w:val="none"/>
          <w:lang w:eastAsia="zh-CN"/>
        </w:rPr>
        <w:br w:type="page"/>
      </w:r>
    </w:p>
    <w:p w14:paraId="2A538897">
      <w:pPr>
        <w:pStyle w:val="2"/>
        <w:keepNext w:val="0"/>
        <w:keepLines w:val="0"/>
        <w:numPr>
          <w:ilvl w:val="0"/>
          <w:numId w:val="0"/>
        </w:numPr>
        <w:jc w:val="center"/>
        <w:outlineLvl w:val="0"/>
      </w:pPr>
      <w:bookmarkStart w:id="237" w:name="_Toc16336"/>
      <w:r>
        <w:rPr>
          <w:rFonts w:hint="eastAsia" w:ascii="宋体" w:hAnsi="宋体" w:cs="宋体"/>
          <w:color w:val="auto"/>
          <w:highlight w:val="none"/>
          <w:lang w:eastAsia="zh-CN"/>
        </w:rPr>
        <w:t>第五章</w:t>
      </w:r>
      <w:r>
        <w:rPr>
          <w:rFonts w:hint="eastAsia" w:ascii="宋体" w:hAnsi="宋体" w:cs="宋体"/>
          <w:color w:val="auto"/>
          <w:highlight w:val="none"/>
          <w:lang w:val="en-US" w:eastAsia="zh-CN"/>
        </w:rPr>
        <w:t xml:space="preserve"> </w:t>
      </w:r>
      <w:bookmarkStart w:id="238" w:name="OLE_LINK25"/>
      <w:bookmarkStart w:id="239" w:name="OLE_LINK30"/>
      <w:bookmarkStart w:id="240" w:name="OLE_LINK35"/>
      <w:r>
        <w:rPr>
          <w:rFonts w:hint="eastAsia" w:ascii="宋体" w:hAnsi="宋体" w:cs="宋体"/>
          <w:color w:val="auto"/>
          <w:highlight w:val="none"/>
        </w:rPr>
        <w:t>采购需求</w:t>
      </w:r>
      <w:bookmarkEnd w:id="235"/>
      <w:bookmarkEnd w:id="237"/>
    </w:p>
    <w:p w14:paraId="6E1B363B">
      <w:pPr>
        <w:numPr>
          <w:ilvl w:val="0"/>
          <w:numId w:val="0"/>
        </w:numPr>
        <w:ind w:leftChars="0"/>
        <w:jc w:val="left"/>
        <w:outlineLvl w:val="1"/>
        <w:rPr>
          <w:rFonts w:hint="eastAsia" w:ascii="宋体" w:hAnsi="宋体" w:cs="宋体"/>
          <w:b/>
          <w:bCs/>
          <w:color w:val="auto"/>
          <w:sz w:val="28"/>
          <w:szCs w:val="28"/>
          <w:highlight w:val="none"/>
          <w:lang w:eastAsia="zh-CN"/>
        </w:rPr>
      </w:pPr>
      <w:bookmarkStart w:id="241" w:name="_Toc2818"/>
      <w:bookmarkStart w:id="242" w:name="OLE_LINK13"/>
      <w:r>
        <w:rPr>
          <w:rFonts w:hint="eastAsia" w:ascii="宋体" w:hAnsi="宋体" w:cs="宋体"/>
          <w:b/>
          <w:bCs/>
          <w:color w:val="auto"/>
          <w:sz w:val="28"/>
          <w:szCs w:val="28"/>
          <w:highlight w:val="none"/>
          <w:lang w:eastAsia="zh-CN"/>
        </w:rPr>
        <w:t>一、采购</w:t>
      </w:r>
      <w:bookmarkEnd w:id="241"/>
      <w:r>
        <w:rPr>
          <w:rFonts w:hint="eastAsia" w:ascii="宋体" w:hAnsi="宋体" w:cs="宋体"/>
          <w:b/>
          <w:bCs/>
          <w:color w:val="auto"/>
          <w:sz w:val="28"/>
          <w:szCs w:val="28"/>
          <w:highlight w:val="none"/>
          <w:lang w:val="en-US" w:eastAsia="zh-CN"/>
        </w:rPr>
        <w:t>内容</w:t>
      </w:r>
    </w:p>
    <w:tbl>
      <w:tblPr>
        <w:tblStyle w:val="22"/>
        <w:tblW w:w="10833"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1946"/>
        <w:gridCol w:w="1928"/>
        <w:gridCol w:w="750"/>
        <w:gridCol w:w="1163"/>
        <w:gridCol w:w="892"/>
        <w:gridCol w:w="1550"/>
        <w:gridCol w:w="1889"/>
      </w:tblGrid>
      <w:tr w14:paraId="481D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15" w:type="dxa"/>
            <w:tcBorders>
              <w:top w:val="single" w:color="000000" w:sz="4" w:space="0"/>
              <w:left w:val="single" w:color="000000" w:sz="4" w:space="0"/>
              <w:bottom w:val="single" w:color="auto" w:sz="4" w:space="0"/>
              <w:right w:val="single" w:color="000000" w:sz="4" w:space="0"/>
            </w:tcBorders>
            <w:noWrap w:val="0"/>
            <w:vAlign w:val="center"/>
          </w:tcPr>
          <w:p w14:paraId="287E66E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bookmarkStart w:id="243" w:name="OLE_LINK50" w:colFirst="2" w:colLast="4"/>
            <w:bookmarkStart w:id="244" w:name="OLE_LINK31" w:colFirst="1" w:colLast="3"/>
            <w:bookmarkStart w:id="245" w:name="OLE_LINK37" w:colFirst="0" w:colLast="5"/>
            <w:bookmarkStart w:id="246" w:name="OLE_LINK33" w:colFirst="3" w:colLast="5"/>
            <w:bookmarkStart w:id="247" w:name="OLE_LINK42" w:colFirst="2" w:colLast="6"/>
            <w:bookmarkStart w:id="248" w:name="OLE_LINK32" w:colFirst="2" w:colLast="3"/>
            <w:r>
              <w:rPr>
                <w:rFonts w:hint="eastAsia" w:ascii="宋体" w:hAnsi="宋体" w:cs="宋体"/>
                <w:color w:val="auto"/>
                <w:kern w:val="0"/>
                <w:sz w:val="24"/>
                <w:szCs w:val="24"/>
                <w:highlight w:val="none"/>
                <w:lang w:val="en-US" w:eastAsia="zh-CN" w:bidi="ar-SA"/>
              </w:rPr>
              <w:t>包号</w:t>
            </w:r>
          </w:p>
        </w:tc>
        <w:tc>
          <w:tcPr>
            <w:tcW w:w="1946" w:type="dxa"/>
            <w:tcBorders>
              <w:top w:val="single" w:color="000000" w:sz="4" w:space="0"/>
              <w:left w:val="single" w:color="000000" w:sz="4" w:space="0"/>
              <w:bottom w:val="single" w:color="auto" w:sz="4" w:space="0"/>
              <w:right w:val="single" w:color="000000" w:sz="4" w:space="0"/>
            </w:tcBorders>
            <w:noWrap w:val="0"/>
            <w:vAlign w:val="center"/>
          </w:tcPr>
          <w:p w14:paraId="721BA52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名称</w:t>
            </w:r>
          </w:p>
        </w:tc>
        <w:tc>
          <w:tcPr>
            <w:tcW w:w="1928" w:type="dxa"/>
            <w:tcBorders>
              <w:top w:val="single" w:color="000000" w:sz="4" w:space="0"/>
              <w:left w:val="single" w:color="000000" w:sz="4" w:space="0"/>
              <w:bottom w:val="single" w:color="auto" w:sz="4" w:space="0"/>
              <w:right w:val="single" w:color="000000" w:sz="4" w:space="0"/>
            </w:tcBorders>
            <w:noWrap w:val="0"/>
            <w:vAlign w:val="center"/>
          </w:tcPr>
          <w:p w14:paraId="04CBAF00">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参考型号</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20129D4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单位</w:t>
            </w:r>
          </w:p>
        </w:tc>
        <w:tc>
          <w:tcPr>
            <w:tcW w:w="1163" w:type="dxa"/>
            <w:tcBorders>
              <w:top w:val="single" w:color="000000" w:sz="4" w:space="0"/>
              <w:left w:val="single" w:color="000000" w:sz="4" w:space="0"/>
              <w:bottom w:val="single" w:color="auto" w:sz="4" w:space="0"/>
              <w:right w:val="single" w:color="000000" w:sz="4" w:space="0"/>
            </w:tcBorders>
            <w:noWrap w:val="0"/>
            <w:vAlign w:val="center"/>
          </w:tcPr>
          <w:p w14:paraId="51EF376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控制单价（元）</w:t>
            </w:r>
          </w:p>
        </w:tc>
        <w:tc>
          <w:tcPr>
            <w:tcW w:w="892" w:type="dxa"/>
            <w:tcBorders>
              <w:top w:val="single" w:color="000000" w:sz="4" w:space="0"/>
              <w:left w:val="single" w:color="000000" w:sz="4" w:space="0"/>
              <w:bottom w:val="single" w:color="auto" w:sz="4" w:space="0"/>
              <w:right w:val="single" w:color="000000" w:sz="4" w:space="0"/>
            </w:tcBorders>
            <w:noWrap w:val="0"/>
            <w:vAlign w:val="center"/>
          </w:tcPr>
          <w:p w14:paraId="5B89886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使用科室</w:t>
            </w:r>
          </w:p>
        </w:tc>
        <w:tc>
          <w:tcPr>
            <w:tcW w:w="1550" w:type="dxa"/>
            <w:tcBorders>
              <w:top w:val="single" w:color="000000" w:sz="4" w:space="0"/>
              <w:left w:val="single" w:color="000000" w:sz="4" w:space="0"/>
              <w:bottom w:val="single" w:color="auto" w:sz="4" w:space="0"/>
              <w:right w:val="single" w:color="000000" w:sz="4" w:space="0"/>
            </w:tcBorders>
            <w:noWrap w:val="0"/>
            <w:vAlign w:val="center"/>
          </w:tcPr>
          <w:p w14:paraId="5F63CE7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采购数量</w:t>
            </w:r>
          </w:p>
        </w:tc>
        <w:tc>
          <w:tcPr>
            <w:tcW w:w="1889" w:type="dxa"/>
            <w:tcBorders>
              <w:top w:val="single" w:color="000000" w:sz="4" w:space="0"/>
              <w:left w:val="single" w:color="000000" w:sz="4" w:space="0"/>
              <w:bottom w:val="single" w:color="auto" w:sz="4" w:space="0"/>
              <w:right w:val="single" w:color="000000" w:sz="4" w:space="0"/>
            </w:tcBorders>
            <w:noWrap w:val="0"/>
            <w:vAlign w:val="center"/>
          </w:tcPr>
          <w:p w14:paraId="437DCB1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参考品牌</w:t>
            </w:r>
          </w:p>
        </w:tc>
      </w:tr>
      <w:tr w14:paraId="7256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5" w:type="dxa"/>
            <w:vMerge w:val="restart"/>
            <w:tcBorders>
              <w:top w:val="single" w:color="auto" w:sz="4" w:space="0"/>
              <w:left w:val="single" w:color="auto" w:sz="4" w:space="0"/>
              <w:right w:val="single" w:color="auto" w:sz="4" w:space="0"/>
            </w:tcBorders>
            <w:noWrap w:val="0"/>
            <w:vAlign w:val="center"/>
          </w:tcPr>
          <w:p w14:paraId="39D6F639">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bookmarkStart w:id="249" w:name="OLE_LINK36" w:colFirst="2" w:colLast="6"/>
            <w:bookmarkStart w:id="250" w:name="_Toc31825"/>
            <w:bookmarkStart w:id="251" w:name="_Toc494532475"/>
            <w:bookmarkStart w:id="252" w:name="_Toc494532474"/>
            <w:bookmarkStart w:id="253" w:name="OLE_LINK41"/>
            <w:bookmarkStart w:id="254" w:name="_Toc25078"/>
            <w:bookmarkStart w:id="255" w:name="_Toc24025"/>
            <w:bookmarkStart w:id="256" w:name="_Toc18753"/>
            <w:bookmarkStart w:id="257" w:name="_Toc303756408"/>
            <w:bookmarkStart w:id="258" w:name="_Toc2946"/>
            <w:r>
              <w:rPr>
                <w:rFonts w:hint="eastAsia" w:ascii="宋体" w:hAnsi="宋体" w:cs="宋体"/>
                <w:color w:val="auto"/>
                <w:kern w:val="0"/>
                <w:sz w:val="24"/>
                <w:szCs w:val="24"/>
                <w:highlight w:val="none"/>
                <w:lang w:val="en-US" w:eastAsia="zh-CN" w:bidi="ar-SA"/>
              </w:rPr>
              <w:t>1</w:t>
            </w:r>
          </w:p>
        </w:tc>
        <w:tc>
          <w:tcPr>
            <w:tcW w:w="1946" w:type="dxa"/>
            <w:vMerge w:val="restart"/>
            <w:tcBorders>
              <w:top w:val="single" w:color="auto" w:sz="4" w:space="0"/>
              <w:left w:val="single" w:color="auto" w:sz="4" w:space="0"/>
              <w:right w:val="single" w:color="auto" w:sz="4" w:space="0"/>
            </w:tcBorders>
            <w:noWrap w:val="0"/>
            <w:vAlign w:val="center"/>
          </w:tcPr>
          <w:p w14:paraId="3AAFCFD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一次性使用无菌眼科手术刀</w:t>
            </w:r>
          </w:p>
        </w:tc>
        <w:tc>
          <w:tcPr>
            <w:tcW w:w="1928" w:type="dxa"/>
            <w:tcBorders>
              <w:top w:val="single" w:color="000000" w:sz="4" w:space="0"/>
              <w:left w:val="single" w:color="000000" w:sz="4" w:space="0"/>
              <w:bottom w:val="single" w:color="000000" w:sz="4" w:space="0"/>
              <w:right w:val="single" w:color="auto" w:sz="4" w:space="0"/>
            </w:tcBorders>
            <w:noWrap w:val="0"/>
            <w:vAlign w:val="center"/>
          </w:tcPr>
          <w:p w14:paraId="4DDE7F5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BF1622、1125、1127</w:t>
            </w:r>
          </w:p>
        </w:tc>
        <w:tc>
          <w:tcPr>
            <w:tcW w:w="750" w:type="dxa"/>
            <w:vMerge w:val="restart"/>
            <w:tcBorders>
              <w:top w:val="single" w:color="000000" w:sz="4" w:space="0"/>
              <w:left w:val="single" w:color="000000" w:sz="4" w:space="0"/>
              <w:right w:val="single" w:color="auto" w:sz="4" w:space="0"/>
            </w:tcBorders>
            <w:noWrap w:val="0"/>
            <w:vAlign w:val="center"/>
          </w:tcPr>
          <w:p w14:paraId="297DFC67">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p w14:paraId="75104A1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163" w:type="dxa"/>
            <w:vMerge w:val="restart"/>
            <w:tcBorders>
              <w:top w:val="single" w:color="000000" w:sz="4" w:space="0"/>
              <w:left w:val="single" w:color="000000" w:sz="4" w:space="0"/>
              <w:right w:val="single" w:color="auto" w:sz="4" w:space="0"/>
            </w:tcBorders>
            <w:noWrap w:val="0"/>
            <w:vAlign w:val="center"/>
          </w:tcPr>
          <w:p w14:paraId="46E6BCFA">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59.00</w:t>
            </w:r>
          </w:p>
        </w:tc>
        <w:tc>
          <w:tcPr>
            <w:tcW w:w="892" w:type="dxa"/>
            <w:vMerge w:val="restart"/>
            <w:tcBorders>
              <w:top w:val="single" w:color="000000" w:sz="4" w:space="0"/>
              <w:left w:val="single" w:color="000000" w:sz="4" w:space="0"/>
              <w:right w:val="single" w:color="auto" w:sz="4" w:space="0"/>
            </w:tcBorders>
            <w:noWrap w:val="0"/>
            <w:vAlign w:val="center"/>
          </w:tcPr>
          <w:p w14:paraId="769A372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眼科</w:t>
            </w:r>
          </w:p>
        </w:tc>
        <w:tc>
          <w:tcPr>
            <w:tcW w:w="1550" w:type="dxa"/>
            <w:vMerge w:val="restart"/>
            <w:tcBorders>
              <w:top w:val="single" w:color="000000" w:sz="4" w:space="0"/>
              <w:left w:val="single" w:color="000000" w:sz="4" w:space="0"/>
              <w:right w:val="single" w:color="auto" w:sz="4" w:space="0"/>
            </w:tcBorders>
            <w:noWrap w:val="0"/>
            <w:vAlign w:val="center"/>
          </w:tcPr>
          <w:p w14:paraId="62F0FEF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937DE5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江苏倍锋医疗科技有限公司</w:t>
            </w:r>
          </w:p>
        </w:tc>
      </w:tr>
      <w:tr w14:paraId="0F9E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5" w:type="dxa"/>
            <w:vMerge w:val="continue"/>
            <w:tcBorders>
              <w:left w:val="single" w:color="auto" w:sz="4" w:space="0"/>
              <w:right w:val="single" w:color="auto" w:sz="4" w:space="0"/>
            </w:tcBorders>
            <w:noWrap w:val="0"/>
            <w:vAlign w:val="center"/>
          </w:tcPr>
          <w:p w14:paraId="72F1EE7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946" w:type="dxa"/>
            <w:vMerge w:val="continue"/>
            <w:tcBorders>
              <w:left w:val="single" w:color="auto" w:sz="4" w:space="0"/>
              <w:right w:val="single" w:color="auto" w:sz="4" w:space="0"/>
            </w:tcBorders>
            <w:noWrap w:val="0"/>
            <w:vAlign w:val="center"/>
          </w:tcPr>
          <w:p w14:paraId="6C3FD4F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928" w:type="dxa"/>
            <w:tcBorders>
              <w:top w:val="single" w:color="000000" w:sz="4" w:space="0"/>
              <w:left w:val="single" w:color="000000" w:sz="4" w:space="0"/>
              <w:bottom w:val="single" w:color="000000" w:sz="4" w:space="0"/>
              <w:right w:val="single" w:color="auto" w:sz="4" w:space="0"/>
            </w:tcBorders>
            <w:noWrap w:val="0"/>
            <w:vAlign w:val="center"/>
          </w:tcPr>
          <w:p w14:paraId="07427A9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15°、2.8mm、3.0mm</w:t>
            </w:r>
          </w:p>
        </w:tc>
        <w:tc>
          <w:tcPr>
            <w:tcW w:w="750" w:type="dxa"/>
            <w:vMerge w:val="continue"/>
            <w:tcBorders>
              <w:left w:val="single" w:color="000000" w:sz="4" w:space="0"/>
              <w:right w:val="single" w:color="auto" w:sz="4" w:space="0"/>
            </w:tcBorders>
            <w:noWrap w:val="0"/>
            <w:vAlign w:val="center"/>
          </w:tcPr>
          <w:p w14:paraId="7FF2D7C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163" w:type="dxa"/>
            <w:vMerge w:val="continue"/>
            <w:tcBorders>
              <w:left w:val="single" w:color="000000" w:sz="4" w:space="0"/>
              <w:right w:val="single" w:color="auto" w:sz="4" w:space="0"/>
            </w:tcBorders>
            <w:noWrap w:val="0"/>
            <w:vAlign w:val="center"/>
          </w:tcPr>
          <w:p w14:paraId="2170F1F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892" w:type="dxa"/>
            <w:vMerge w:val="continue"/>
            <w:tcBorders>
              <w:left w:val="single" w:color="000000" w:sz="4" w:space="0"/>
              <w:right w:val="single" w:color="auto" w:sz="4" w:space="0"/>
            </w:tcBorders>
            <w:noWrap w:val="0"/>
            <w:vAlign w:val="center"/>
          </w:tcPr>
          <w:p w14:paraId="6D40BD4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550" w:type="dxa"/>
            <w:vMerge w:val="continue"/>
            <w:tcBorders>
              <w:left w:val="single" w:color="000000" w:sz="4" w:space="0"/>
              <w:right w:val="single" w:color="auto" w:sz="4" w:space="0"/>
            </w:tcBorders>
            <w:noWrap w:val="0"/>
            <w:vAlign w:val="center"/>
          </w:tcPr>
          <w:p w14:paraId="1C24629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9F9123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苏州市开元医疗器械有限公司</w:t>
            </w:r>
          </w:p>
        </w:tc>
      </w:tr>
      <w:tr w14:paraId="6259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5" w:type="dxa"/>
            <w:vMerge w:val="continue"/>
            <w:tcBorders>
              <w:left w:val="single" w:color="auto" w:sz="4" w:space="0"/>
              <w:bottom w:val="single" w:color="auto" w:sz="4" w:space="0"/>
              <w:right w:val="single" w:color="auto" w:sz="4" w:space="0"/>
            </w:tcBorders>
            <w:noWrap w:val="0"/>
            <w:vAlign w:val="center"/>
          </w:tcPr>
          <w:p w14:paraId="02285A3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946" w:type="dxa"/>
            <w:vMerge w:val="continue"/>
            <w:tcBorders>
              <w:left w:val="single" w:color="auto" w:sz="4" w:space="0"/>
              <w:bottom w:val="single" w:color="auto" w:sz="4" w:space="0"/>
              <w:right w:val="single" w:color="auto" w:sz="4" w:space="0"/>
            </w:tcBorders>
            <w:noWrap w:val="0"/>
            <w:vAlign w:val="center"/>
          </w:tcPr>
          <w:p w14:paraId="35C7011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928" w:type="dxa"/>
            <w:tcBorders>
              <w:top w:val="single" w:color="000000" w:sz="4" w:space="0"/>
              <w:left w:val="single" w:color="000000" w:sz="4" w:space="0"/>
              <w:bottom w:val="single" w:color="000000" w:sz="4" w:space="0"/>
              <w:right w:val="single" w:color="auto" w:sz="4" w:space="0"/>
            </w:tcBorders>
            <w:noWrap w:val="0"/>
            <w:vAlign w:val="center"/>
          </w:tcPr>
          <w:p w14:paraId="70553D7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15°、2.8mm、3.0mm</w:t>
            </w:r>
          </w:p>
        </w:tc>
        <w:tc>
          <w:tcPr>
            <w:tcW w:w="750" w:type="dxa"/>
            <w:vMerge w:val="continue"/>
            <w:tcBorders>
              <w:left w:val="single" w:color="000000" w:sz="4" w:space="0"/>
              <w:bottom w:val="single" w:color="000000" w:sz="4" w:space="0"/>
              <w:right w:val="single" w:color="auto" w:sz="4" w:space="0"/>
            </w:tcBorders>
            <w:noWrap w:val="0"/>
            <w:vAlign w:val="center"/>
          </w:tcPr>
          <w:p w14:paraId="24AB606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163" w:type="dxa"/>
            <w:vMerge w:val="continue"/>
            <w:tcBorders>
              <w:left w:val="single" w:color="000000" w:sz="4" w:space="0"/>
              <w:bottom w:val="single" w:color="000000" w:sz="4" w:space="0"/>
              <w:right w:val="single" w:color="auto" w:sz="4" w:space="0"/>
            </w:tcBorders>
            <w:noWrap w:val="0"/>
            <w:vAlign w:val="center"/>
          </w:tcPr>
          <w:p w14:paraId="01E077A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892" w:type="dxa"/>
            <w:vMerge w:val="continue"/>
            <w:tcBorders>
              <w:left w:val="single" w:color="000000" w:sz="4" w:space="0"/>
              <w:bottom w:val="single" w:color="000000" w:sz="4" w:space="0"/>
              <w:right w:val="single" w:color="auto" w:sz="4" w:space="0"/>
            </w:tcBorders>
            <w:noWrap w:val="0"/>
            <w:vAlign w:val="center"/>
          </w:tcPr>
          <w:p w14:paraId="4ABA233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550" w:type="dxa"/>
            <w:vMerge w:val="continue"/>
            <w:tcBorders>
              <w:left w:val="single" w:color="000000" w:sz="4" w:space="0"/>
              <w:bottom w:val="single" w:color="000000" w:sz="4" w:space="0"/>
              <w:right w:val="single" w:color="auto" w:sz="4" w:space="0"/>
            </w:tcBorders>
            <w:noWrap w:val="0"/>
            <w:vAlign w:val="center"/>
          </w:tcPr>
          <w:p w14:paraId="133E134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60C18B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马尼（北京）贸易有限公司</w:t>
            </w:r>
          </w:p>
        </w:tc>
      </w:tr>
      <w:tr w14:paraId="2177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5" w:type="dxa"/>
            <w:vMerge w:val="restart"/>
            <w:tcBorders>
              <w:top w:val="single" w:color="auto" w:sz="4" w:space="0"/>
              <w:left w:val="single" w:color="auto" w:sz="4" w:space="0"/>
              <w:right w:val="single" w:color="auto" w:sz="4" w:space="0"/>
            </w:tcBorders>
            <w:noWrap w:val="0"/>
            <w:vAlign w:val="center"/>
          </w:tcPr>
          <w:p w14:paraId="42A1D063">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p>
        </w:tc>
        <w:tc>
          <w:tcPr>
            <w:tcW w:w="1946" w:type="dxa"/>
            <w:vMerge w:val="restart"/>
            <w:tcBorders>
              <w:top w:val="single" w:color="auto" w:sz="4" w:space="0"/>
              <w:left w:val="single" w:color="auto" w:sz="4" w:space="0"/>
              <w:right w:val="single" w:color="auto" w:sz="4" w:space="0"/>
            </w:tcBorders>
            <w:noWrap w:val="0"/>
            <w:vAlign w:val="center"/>
          </w:tcPr>
          <w:p w14:paraId="59620BF2">
            <w:pPr>
              <w:jc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有晶体眼人工晶体</w:t>
            </w:r>
          </w:p>
        </w:tc>
        <w:tc>
          <w:tcPr>
            <w:tcW w:w="1928" w:type="dxa"/>
            <w:tcBorders>
              <w:top w:val="single" w:color="000000" w:sz="4" w:space="0"/>
              <w:left w:val="single" w:color="000000" w:sz="4" w:space="0"/>
              <w:bottom w:val="single" w:color="000000" w:sz="4" w:space="0"/>
              <w:right w:val="single" w:color="auto" w:sz="4" w:space="0"/>
            </w:tcBorders>
            <w:noWrap w:val="0"/>
            <w:vAlign w:val="center"/>
          </w:tcPr>
          <w:p w14:paraId="7C6A551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全系列</w:t>
            </w:r>
          </w:p>
        </w:tc>
        <w:tc>
          <w:tcPr>
            <w:tcW w:w="750" w:type="dxa"/>
            <w:vMerge w:val="restart"/>
            <w:tcBorders>
              <w:top w:val="single" w:color="000000" w:sz="4" w:space="0"/>
              <w:left w:val="single" w:color="000000" w:sz="4" w:space="0"/>
              <w:right w:val="single" w:color="auto" w:sz="4" w:space="0"/>
            </w:tcBorders>
            <w:noWrap w:val="0"/>
            <w:vAlign w:val="center"/>
          </w:tcPr>
          <w:p w14:paraId="281AC9BB">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枚</w:t>
            </w:r>
          </w:p>
        </w:tc>
        <w:tc>
          <w:tcPr>
            <w:tcW w:w="1163" w:type="dxa"/>
            <w:vMerge w:val="restart"/>
            <w:tcBorders>
              <w:top w:val="single" w:color="000000" w:sz="4" w:space="0"/>
              <w:left w:val="single" w:color="000000" w:sz="4" w:space="0"/>
              <w:right w:val="single" w:color="auto" w:sz="4" w:space="0"/>
            </w:tcBorders>
            <w:noWrap w:val="0"/>
            <w:vAlign w:val="center"/>
          </w:tcPr>
          <w:p w14:paraId="7BC8A48B">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14000.00</w:t>
            </w:r>
          </w:p>
        </w:tc>
        <w:tc>
          <w:tcPr>
            <w:tcW w:w="892" w:type="dxa"/>
            <w:vMerge w:val="restart"/>
            <w:tcBorders>
              <w:top w:val="single" w:color="000000" w:sz="4" w:space="0"/>
              <w:left w:val="single" w:color="000000" w:sz="4" w:space="0"/>
              <w:right w:val="single" w:color="auto" w:sz="4" w:space="0"/>
            </w:tcBorders>
            <w:noWrap w:val="0"/>
            <w:vAlign w:val="center"/>
          </w:tcPr>
          <w:p w14:paraId="6CD7E3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highlight w:val="none"/>
                <w:lang w:val="en-US" w:eastAsia="zh-CN" w:bidi="ar-SA"/>
              </w:rPr>
              <w:t>眼科</w:t>
            </w:r>
          </w:p>
        </w:tc>
        <w:tc>
          <w:tcPr>
            <w:tcW w:w="1550" w:type="dxa"/>
            <w:vMerge w:val="restart"/>
            <w:tcBorders>
              <w:top w:val="single" w:color="000000" w:sz="4" w:space="0"/>
              <w:left w:val="single" w:color="000000" w:sz="4" w:space="0"/>
              <w:right w:val="single" w:color="auto" w:sz="4" w:space="0"/>
            </w:tcBorders>
            <w:noWrap w:val="0"/>
            <w:vAlign w:val="center"/>
          </w:tcPr>
          <w:p w14:paraId="665F6C5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c>
          <w:tcPr>
            <w:tcW w:w="1889" w:type="dxa"/>
            <w:tcBorders>
              <w:top w:val="single" w:color="auto" w:sz="4" w:space="0"/>
              <w:left w:val="single" w:color="000000" w:sz="4" w:space="0"/>
              <w:bottom w:val="single" w:color="000000" w:sz="4" w:space="0"/>
              <w:right w:val="single" w:color="auto" w:sz="4" w:space="0"/>
            </w:tcBorders>
            <w:noWrap w:val="0"/>
            <w:vAlign w:val="center"/>
          </w:tcPr>
          <w:p w14:paraId="47A9E4A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ICL/瑞士staar公司</w:t>
            </w:r>
          </w:p>
        </w:tc>
      </w:tr>
      <w:tr w14:paraId="74DE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5" w:type="dxa"/>
            <w:vMerge w:val="continue"/>
            <w:tcBorders>
              <w:left w:val="single" w:color="auto" w:sz="4" w:space="0"/>
              <w:bottom w:val="single" w:color="auto" w:sz="4" w:space="0"/>
              <w:right w:val="single" w:color="auto" w:sz="4" w:space="0"/>
            </w:tcBorders>
            <w:noWrap w:val="0"/>
            <w:vAlign w:val="center"/>
          </w:tcPr>
          <w:p w14:paraId="2B5ED44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946" w:type="dxa"/>
            <w:vMerge w:val="continue"/>
            <w:tcBorders>
              <w:left w:val="single" w:color="auto" w:sz="4" w:space="0"/>
              <w:bottom w:val="single" w:color="auto" w:sz="4" w:space="0"/>
              <w:right w:val="single" w:color="auto" w:sz="4" w:space="0"/>
            </w:tcBorders>
            <w:noWrap w:val="0"/>
            <w:vAlign w:val="center"/>
          </w:tcPr>
          <w:p w14:paraId="143365B1">
            <w:pPr>
              <w:jc w:val="center"/>
              <w:rPr>
                <w:rFonts w:hint="default" w:ascii="宋体" w:hAnsi="宋体" w:cs="宋体"/>
                <w:color w:val="auto"/>
                <w:kern w:val="0"/>
                <w:sz w:val="24"/>
                <w:szCs w:val="24"/>
                <w:highlight w:val="none"/>
                <w:lang w:val="en-US" w:eastAsia="zh-CN" w:bidi="ar-SA"/>
              </w:rPr>
            </w:pPr>
          </w:p>
        </w:tc>
        <w:tc>
          <w:tcPr>
            <w:tcW w:w="1928" w:type="dxa"/>
            <w:tcBorders>
              <w:top w:val="single" w:color="000000" w:sz="4" w:space="0"/>
              <w:left w:val="single" w:color="000000" w:sz="4" w:space="0"/>
              <w:bottom w:val="single" w:color="000000" w:sz="4" w:space="0"/>
              <w:right w:val="single" w:color="auto" w:sz="4" w:space="0"/>
            </w:tcBorders>
            <w:noWrap w:val="0"/>
            <w:vAlign w:val="center"/>
          </w:tcPr>
          <w:p w14:paraId="7A558D1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全系列</w:t>
            </w:r>
          </w:p>
        </w:tc>
        <w:tc>
          <w:tcPr>
            <w:tcW w:w="750" w:type="dxa"/>
            <w:vMerge w:val="continue"/>
            <w:tcBorders>
              <w:left w:val="single" w:color="000000" w:sz="4" w:space="0"/>
              <w:bottom w:val="single" w:color="000000" w:sz="4" w:space="0"/>
              <w:right w:val="single" w:color="auto" w:sz="4" w:space="0"/>
            </w:tcBorders>
            <w:noWrap w:val="0"/>
            <w:vAlign w:val="center"/>
          </w:tcPr>
          <w:p w14:paraId="298BED5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163" w:type="dxa"/>
            <w:vMerge w:val="continue"/>
            <w:tcBorders>
              <w:left w:val="single" w:color="000000" w:sz="4" w:space="0"/>
              <w:bottom w:val="single" w:color="000000" w:sz="4" w:space="0"/>
              <w:right w:val="single" w:color="auto" w:sz="4" w:space="0"/>
            </w:tcBorders>
            <w:noWrap w:val="0"/>
            <w:vAlign w:val="center"/>
          </w:tcPr>
          <w:p w14:paraId="639E848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892" w:type="dxa"/>
            <w:vMerge w:val="continue"/>
            <w:tcBorders>
              <w:left w:val="single" w:color="000000" w:sz="4" w:space="0"/>
              <w:bottom w:val="single" w:color="000000" w:sz="4" w:space="0"/>
              <w:right w:val="single" w:color="auto" w:sz="4" w:space="0"/>
            </w:tcBorders>
            <w:noWrap w:val="0"/>
            <w:vAlign w:val="center"/>
          </w:tcPr>
          <w:p w14:paraId="001F07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0" w:type="dxa"/>
            <w:vMerge w:val="continue"/>
            <w:tcBorders>
              <w:left w:val="single" w:color="000000" w:sz="4" w:space="0"/>
              <w:bottom w:val="single" w:color="000000" w:sz="4" w:space="0"/>
              <w:right w:val="single" w:color="auto" w:sz="4" w:space="0"/>
            </w:tcBorders>
            <w:noWrap w:val="0"/>
            <w:vAlign w:val="center"/>
          </w:tcPr>
          <w:p w14:paraId="6D9EE20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p>
        </w:tc>
        <w:tc>
          <w:tcPr>
            <w:tcW w:w="1889" w:type="dxa"/>
            <w:tcBorders>
              <w:top w:val="single" w:color="auto" w:sz="4" w:space="0"/>
              <w:left w:val="single" w:color="000000" w:sz="4" w:space="0"/>
              <w:bottom w:val="single" w:color="000000" w:sz="4" w:space="0"/>
              <w:right w:val="single" w:color="auto" w:sz="4" w:space="0"/>
            </w:tcBorders>
            <w:noWrap w:val="0"/>
            <w:vAlign w:val="center"/>
          </w:tcPr>
          <w:p w14:paraId="068D188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龙晶/爱博诺德（北京）公司</w:t>
            </w:r>
          </w:p>
        </w:tc>
      </w:tr>
      <w:tr w14:paraId="7F67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33" w:type="dxa"/>
            <w:gridSpan w:val="8"/>
            <w:tcBorders>
              <w:top w:val="single" w:color="auto" w:sz="4" w:space="0"/>
              <w:left w:val="single" w:color="auto" w:sz="4" w:space="0"/>
              <w:bottom w:val="single" w:color="auto" w:sz="4" w:space="0"/>
              <w:right w:val="single" w:color="auto" w:sz="4" w:space="0"/>
            </w:tcBorders>
            <w:noWrap w:val="0"/>
            <w:vAlign w:val="center"/>
          </w:tcPr>
          <w:p w14:paraId="34B1BF70">
            <w:pPr>
              <w:keepNext w:val="0"/>
              <w:keepLines w:val="0"/>
              <w:widowControl/>
              <w:suppressLineNumbers w:val="0"/>
              <w:jc w:val="left"/>
              <w:textAlignment w:val="center"/>
              <w:rPr>
                <w:rFonts w:hint="eastAsia" w:ascii="宋体" w:hAnsi="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注：本询比文件所涉及各类品牌、型号为结合实际现有情况的推荐性参考方案，投标人也可根据询比文件的要求提供性能相当或高于、服务条款相等或高于、符合采购人实际业务需求其它同档次优质品牌的产品参加投标。</w:t>
            </w:r>
          </w:p>
        </w:tc>
      </w:tr>
      <w:bookmarkEnd w:id="238"/>
      <w:bookmarkEnd w:id="242"/>
      <w:bookmarkEnd w:id="243"/>
      <w:bookmarkEnd w:id="244"/>
      <w:bookmarkEnd w:id="245"/>
      <w:bookmarkEnd w:id="246"/>
      <w:bookmarkEnd w:id="247"/>
      <w:bookmarkEnd w:id="248"/>
      <w:bookmarkEnd w:id="249"/>
    </w:tbl>
    <w:p w14:paraId="31C3893F">
      <w:pPr>
        <w:outlineLvl w:val="1"/>
        <w:rPr>
          <w:rFonts w:hint="eastAsia" w:ascii="宋体" w:hAnsi="宋体" w:cs="Arial"/>
          <w:sz w:val="24"/>
          <w:szCs w:val="24"/>
          <w:lang w:eastAsia="zh-CN"/>
        </w:rPr>
      </w:pPr>
      <w:r>
        <w:rPr>
          <w:rFonts w:hint="eastAsia" w:ascii="宋体" w:hAnsi="宋体" w:eastAsia="宋体" w:cs="宋体"/>
          <w:b/>
          <w:bCs/>
          <w:color w:val="auto"/>
          <w:sz w:val="28"/>
          <w:szCs w:val="28"/>
          <w:highlight w:val="none"/>
          <w:lang w:eastAsia="zh-CN"/>
        </w:rPr>
        <w:t>二、技术要求</w:t>
      </w:r>
    </w:p>
    <w:p w14:paraId="4E5C08F1">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包</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：一次性使用无菌眼科手术刀</w:t>
      </w:r>
      <w:r>
        <w:rPr>
          <w:rFonts w:hint="eastAsia" w:ascii="宋体" w:hAnsi="宋体" w:cs="宋体"/>
          <w:b/>
          <w:bCs/>
          <w:color w:val="auto"/>
          <w:kern w:val="2"/>
          <w:sz w:val="28"/>
          <w:szCs w:val="28"/>
          <w:highlight w:val="none"/>
          <w:lang w:val="en-US" w:eastAsia="zh-CN" w:bidi="ar-SA"/>
        </w:rPr>
        <w:t>（每个型号均需响应）</w:t>
      </w:r>
    </w:p>
    <w:p w14:paraId="2ECD958E">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1、</w:t>
      </w:r>
      <w:r>
        <w:rPr>
          <w:rFonts w:hint="eastAsia" w:ascii="宋体" w:hAnsi="宋体" w:eastAsia="宋体" w:cs="Arial"/>
          <w:sz w:val="24"/>
          <w:szCs w:val="24"/>
          <w:lang w:val="en-US" w:eastAsia="zh-CN"/>
        </w:rPr>
        <w:t>主切口穿刺刀：</w:t>
      </w:r>
    </w:p>
    <w:p w14:paraId="5AFCE3BF">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1.1、</w:t>
      </w:r>
      <w:r>
        <w:rPr>
          <w:rFonts w:hint="eastAsia" w:ascii="宋体" w:hAnsi="宋体" w:eastAsia="宋体" w:cs="Arial"/>
          <w:sz w:val="24"/>
          <w:szCs w:val="24"/>
          <w:lang w:val="en-US" w:eastAsia="zh-CN"/>
        </w:rPr>
        <w:t>1.8mm±</w:t>
      </w:r>
      <w:r>
        <w:rPr>
          <w:rFonts w:hint="default" w:ascii="宋体" w:hAnsi="宋体" w:eastAsia="宋体" w:cs="Arial"/>
          <w:sz w:val="24"/>
          <w:szCs w:val="24"/>
          <w:lang w:val="en-US" w:eastAsia="zh-CN"/>
        </w:rPr>
        <w:t>0.1mm</w:t>
      </w:r>
    </w:p>
    <w:p w14:paraId="0B60D0E5">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1.2、</w:t>
      </w:r>
      <w:r>
        <w:rPr>
          <w:rFonts w:hint="eastAsia" w:ascii="宋体" w:hAnsi="宋体" w:eastAsia="宋体" w:cs="Arial"/>
          <w:sz w:val="24"/>
          <w:szCs w:val="24"/>
          <w:lang w:val="en-US" w:eastAsia="zh-CN"/>
        </w:rPr>
        <w:t>2.2mm±0.1</w:t>
      </w:r>
      <w:r>
        <w:rPr>
          <w:rFonts w:hint="default" w:ascii="宋体" w:hAnsi="宋体" w:eastAsia="宋体" w:cs="Arial"/>
          <w:sz w:val="24"/>
          <w:szCs w:val="24"/>
          <w:lang w:val="en-US" w:eastAsia="zh-CN"/>
        </w:rPr>
        <w:t>mm</w:t>
      </w:r>
    </w:p>
    <w:p w14:paraId="0C49D5AB">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1.3、</w:t>
      </w:r>
      <w:r>
        <w:rPr>
          <w:rFonts w:hint="default" w:ascii="宋体" w:hAnsi="宋体" w:eastAsia="宋体" w:cs="Arial"/>
          <w:sz w:val="24"/>
          <w:szCs w:val="24"/>
          <w:lang w:val="en-US" w:eastAsia="zh-CN"/>
        </w:rPr>
        <w:t>2.5mm</w:t>
      </w:r>
      <w:r>
        <w:rPr>
          <w:rFonts w:hint="eastAsia" w:ascii="宋体" w:hAnsi="宋体" w:eastAsia="宋体" w:cs="Arial"/>
          <w:sz w:val="24"/>
          <w:szCs w:val="24"/>
          <w:lang w:val="en-US" w:eastAsia="zh-CN"/>
        </w:rPr>
        <w:t>±</w:t>
      </w:r>
      <w:r>
        <w:rPr>
          <w:rFonts w:hint="default" w:ascii="宋体" w:hAnsi="宋体" w:eastAsia="宋体" w:cs="Arial"/>
          <w:sz w:val="24"/>
          <w:szCs w:val="24"/>
          <w:lang w:val="en-US" w:eastAsia="zh-CN"/>
        </w:rPr>
        <w:t>0.1mm</w:t>
      </w:r>
    </w:p>
    <w:p w14:paraId="0CA81BCE">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1.4、</w:t>
      </w:r>
      <w:r>
        <w:rPr>
          <w:rFonts w:hint="default" w:ascii="宋体" w:hAnsi="宋体" w:eastAsia="宋体" w:cs="Arial"/>
          <w:sz w:val="24"/>
          <w:szCs w:val="24"/>
          <w:lang w:val="en-US" w:eastAsia="zh-CN"/>
        </w:rPr>
        <w:t>2.</w:t>
      </w:r>
      <w:r>
        <w:rPr>
          <w:rFonts w:hint="eastAsia" w:ascii="宋体" w:hAnsi="宋体" w:eastAsia="宋体" w:cs="Arial"/>
          <w:sz w:val="24"/>
          <w:szCs w:val="24"/>
          <w:lang w:val="en-US" w:eastAsia="zh-CN"/>
        </w:rPr>
        <w:t>8mm</w:t>
      </w:r>
      <w:r>
        <w:rPr>
          <w:rFonts w:hint="default" w:ascii="宋体" w:hAnsi="宋体" w:eastAsia="宋体" w:cs="Arial"/>
          <w:sz w:val="24"/>
          <w:szCs w:val="24"/>
          <w:lang w:val="en-US" w:eastAsia="zh-CN"/>
        </w:rPr>
        <w:t>±0.1mm</w:t>
      </w:r>
    </w:p>
    <w:p w14:paraId="2ED20C13">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1.5、</w:t>
      </w:r>
      <w:r>
        <w:rPr>
          <w:rFonts w:hint="default" w:ascii="宋体" w:hAnsi="宋体" w:eastAsia="宋体" w:cs="Arial"/>
          <w:sz w:val="24"/>
          <w:szCs w:val="24"/>
          <w:lang w:val="en-US" w:eastAsia="zh-CN"/>
        </w:rPr>
        <w:t>3mm±0.1mm</w:t>
      </w:r>
    </w:p>
    <w:p w14:paraId="6272596D">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2、</w:t>
      </w:r>
      <w:r>
        <w:rPr>
          <w:rFonts w:hint="eastAsia" w:ascii="宋体" w:hAnsi="宋体" w:eastAsia="宋体" w:cs="Arial"/>
          <w:sz w:val="24"/>
          <w:szCs w:val="24"/>
          <w:lang w:val="en-US" w:eastAsia="zh-CN"/>
        </w:rPr>
        <w:t>侧切口穿刺刀:</w:t>
      </w:r>
    </w:p>
    <w:p w14:paraId="74EA0DCE">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2.1、</w:t>
      </w:r>
      <w:r>
        <w:rPr>
          <w:rFonts w:hint="eastAsia" w:ascii="宋体" w:hAnsi="宋体" w:eastAsia="宋体" w:cs="Arial"/>
          <w:sz w:val="24"/>
          <w:szCs w:val="24"/>
          <w:lang w:val="en-US" w:eastAsia="zh-CN"/>
        </w:rPr>
        <w:t>15°±</w:t>
      </w:r>
      <w:r>
        <w:rPr>
          <w:rFonts w:hint="default" w:ascii="宋体" w:hAnsi="宋体" w:eastAsia="宋体" w:cs="Arial"/>
          <w:sz w:val="24"/>
          <w:szCs w:val="24"/>
          <w:lang w:val="en-US" w:eastAsia="zh-CN"/>
        </w:rPr>
        <w:t>1°</w:t>
      </w:r>
    </w:p>
    <w:p w14:paraId="143489D8">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2.2、</w:t>
      </w:r>
      <w:r>
        <w:rPr>
          <w:rFonts w:hint="eastAsia" w:ascii="宋体" w:hAnsi="宋体" w:eastAsia="宋体" w:cs="Arial"/>
          <w:sz w:val="24"/>
          <w:szCs w:val="24"/>
          <w:lang w:val="en-US" w:eastAsia="zh-CN"/>
        </w:rPr>
        <w:t>2</w:t>
      </w:r>
      <w:r>
        <w:rPr>
          <w:rFonts w:hint="default" w:ascii="宋体" w:hAnsi="宋体" w:eastAsia="宋体" w:cs="Arial"/>
          <w:sz w:val="24"/>
          <w:szCs w:val="24"/>
          <w:lang w:val="en-US" w:eastAsia="zh-CN"/>
        </w:rPr>
        <w:t>2.5</w:t>
      </w:r>
      <w:r>
        <w:rPr>
          <w:rFonts w:hint="eastAsia" w:ascii="宋体" w:hAnsi="宋体" w:eastAsia="宋体" w:cs="Arial"/>
          <w:sz w:val="24"/>
          <w:szCs w:val="24"/>
          <w:lang w:val="en-US" w:eastAsia="zh-CN"/>
        </w:rPr>
        <w:t>°</w:t>
      </w:r>
      <w:r>
        <w:rPr>
          <w:rFonts w:hint="default" w:ascii="宋体" w:hAnsi="宋体" w:eastAsia="宋体" w:cs="Arial"/>
          <w:sz w:val="24"/>
          <w:szCs w:val="24"/>
          <w:lang w:val="en-US" w:eastAsia="zh-CN"/>
        </w:rPr>
        <w:t>±1°</w:t>
      </w:r>
    </w:p>
    <w:p w14:paraId="6A26EFC6">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2.3、</w:t>
      </w:r>
      <w:r>
        <w:rPr>
          <w:rFonts w:hint="default" w:ascii="宋体" w:hAnsi="宋体" w:eastAsia="宋体" w:cs="Arial"/>
          <w:sz w:val="24"/>
          <w:szCs w:val="24"/>
          <w:lang w:val="en-US" w:eastAsia="zh-CN"/>
        </w:rPr>
        <w:t>30°±1°</w:t>
      </w:r>
    </w:p>
    <w:p w14:paraId="71F4B680">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2.4、</w:t>
      </w:r>
      <w:r>
        <w:rPr>
          <w:rFonts w:hint="eastAsia" w:ascii="宋体" w:hAnsi="宋体" w:eastAsia="宋体" w:cs="Arial"/>
          <w:sz w:val="24"/>
          <w:szCs w:val="24"/>
          <w:lang w:val="en-US" w:eastAsia="zh-CN"/>
        </w:rPr>
        <w:t>45</w:t>
      </w:r>
      <w:r>
        <w:rPr>
          <w:rFonts w:hint="default" w:ascii="宋体" w:hAnsi="宋体" w:eastAsia="宋体" w:cs="Arial"/>
          <w:sz w:val="24"/>
          <w:szCs w:val="24"/>
          <w:lang w:val="en-US" w:eastAsia="zh-CN"/>
        </w:rPr>
        <w:t>°±1°</w:t>
      </w:r>
    </w:p>
    <w:p w14:paraId="6B8D7657">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3、</w:t>
      </w:r>
      <w:r>
        <w:rPr>
          <w:rFonts w:hint="eastAsia" w:ascii="宋体" w:hAnsi="宋体" w:eastAsia="宋体" w:cs="Arial"/>
          <w:sz w:val="24"/>
          <w:szCs w:val="24"/>
          <w:lang w:val="en-US" w:eastAsia="zh-CN"/>
        </w:rPr>
        <w:t>隧道刀：</w:t>
      </w:r>
    </w:p>
    <w:p w14:paraId="5CF2B545">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3.1、</w:t>
      </w:r>
      <w:r>
        <w:rPr>
          <w:rFonts w:hint="eastAsia" w:ascii="宋体" w:hAnsi="宋体" w:eastAsia="宋体" w:cs="Arial"/>
          <w:sz w:val="24"/>
          <w:szCs w:val="24"/>
          <w:lang w:val="en-US" w:eastAsia="zh-CN"/>
        </w:rPr>
        <w:t>2.0mm±</w:t>
      </w:r>
      <w:r>
        <w:rPr>
          <w:rFonts w:hint="default" w:ascii="宋体" w:hAnsi="宋体" w:eastAsia="宋体" w:cs="Arial"/>
          <w:sz w:val="24"/>
          <w:szCs w:val="24"/>
          <w:lang w:val="en-US" w:eastAsia="zh-CN"/>
        </w:rPr>
        <w:t>0.2mm</w:t>
      </w:r>
    </w:p>
    <w:p w14:paraId="12DA4AC8">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3.2、</w:t>
      </w:r>
      <w:r>
        <w:rPr>
          <w:rFonts w:hint="eastAsia" w:ascii="宋体" w:hAnsi="宋体" w:eastAsia="宋体" w:cs="Arial"/>
          <w:sz w:val="24"/>
          <w:szCs w:val="24"/>
          <w:lang w:val="en-US" w:eastAsia="zh-CN"/>
        </w:rPr>
        <w:t>2.5mm±</w:t>
      </w:r>
      <w:r>
        <w:rPr>
          <w:rFonts w:hint="default" w:ascii="宋体" w:hAnsi="宋体" w:eastAsia="宋体" w:cs="Arial"/>
          <w:sz w:val="24"/>
          <w:szCs w:val="24"/>
          <w:lang w:val="en-US" w:eastAsia="zh-CN"/>
        </w:rPr>
        <w:t>0.2mm</w:t>
      </w:r>
    </w:p>
    <w:p w14:paraId="287B7622">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4、</w:t>
      </w:r>
      <w:r>
        <w:rPr>
          <w:rFonts w:hint="eastAsia" w:ascii="宋体" w:hAnsi="宋体" w:eastAsia="宋体" w:cs="Arial"/>
          <w:sz w:val="24"/>
          <w:szCs w:val="24"/>
          <w:lang w:val="en-US" w:eastAsia="zh-CN"/>
        </w:rPr>
        <w:t>矛形刀：</w:t>
      </w:r>
    </w:p>
    <w:p w14:paraId="193D995F">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4.1、</w:t>
      </w:r>
      <w:r>
        <w:rPr>
          <w:rFonts w:hint="eastAsia" w:ascii="宋体" w:hAnsi="宋体" w:eastAsia="宋体" w:cs="Arial"/>
          <w:sz w:val="24"/>
          <w:szCs w:val="24"/>
          <w:lang w:val="en-US" w:eastAsia="zh-CN"/>
        </w:rPr>
        <w:t>0.5mm±</w:t>
      </w:r>
      <w:r>
        <w:rPr>
          <w:rFonts w:hint="default" w:ascii="宋体" w:hAnsi="宋体" w:eastAsia="宋体" w:cs="Arial"/>
          <w:sz w:val="24"/>
          <w:szCs w:val="24"/>
          <w:lang w:val="en-US" w:eastAsia="zh-CN"/>
        </w:rPr>
        <w:t>0.2mm</w:t>
      </w:r>
    </w:p>
    <w:p w14:paraId="23FBFB59">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4.2、</w:t>
      </w:r>
      <w:r>
        <w:rPr>
          <w:rFonts w:hint="default" w:ascii="宋体" w:hAnsi="宋体" w:eastAsia="宋体" w:cs="Arial"/>
          <w:sz w:val="24"/>
          <w:szCs w:val="24"/>
          <w:lang w:val="en-US" w:eastAsia="zh-CN"/>
        </w:rPr>
        <w:t>0.75</w:t>
      </w:r>
      <w:r>
        <w:rPr>
          <w:rFonts w:hint="eastAsia" w:ascii="宋体" w:hAnsi="宋体" w:eastAsia="宋体" w:cs="Arial"/>
          <w:sz w:val="24"/>
          <w:szCs w:val="24"/>
          <w:lang w:val="en-US" w:eastAsia="zh-CN"/>
        </w:rPr>
        <w:t>mm±</w:t>
      </w:r>
      <w:r>
        <w:rPr>
          <w:rFonts w:hint="default" w:ascii="宋体" w:hAnsi="宋体" w:eastAsia="宋体" w:cs="Arial"/>
          <w:sz w:val="24"/>
          <w:szCs w:val="24"/>
          <w:lang w:val="en-US" w:eastAsia="zh-CN"/>
        </w:rPr>
        <w:t>0.2mm</w:t>
      </w:r>
    </w:p>
    <w:p w14:paraId="47A613BA">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Arial"/>
          <w:sz w:val="24"/>
          <w:szCs w:val="24"/>
          <w:lang w:val="en-US" w:eastAsia="zh-CN"/>
        </w:rPr>
      </w:pPr>
      <w:r>
        <w:rPr>
          <w:rFonts w:hint="eastAsia" w:ascii="宋体" w:hAnsi="宋体" w:cs="Arial"/>
          <w:sz w:val="24"/>
          <w:szCs w:val="24"/>
          <w:lang w:val="en-US" w:eastAsia="zh-CN"/>
        </w:rPr>
        <w:t>4.3、</w:t>
      </w:r>
      <w:r>
        <w:rPr>
          <w:rFonts w:hint="eastAsia" w:ascii="宋体" w:hAnsi="宋体" w:eastAsia="宋体" w:cs="Arial"/>
          <w:sz w:val="24"/>
          <w:szCs w:val="24"/>
          <w:lang w:val="en-US" w:eastAsia="zh-CN"/>
        </w:rPr>
        <w:t>1.</w:t>
      </w:r>
      <w:r>
        <w:rPr>
          <w:rFonts w:hint="default" w:ascii="宋体" w:hAnsi="宋体" w:eastAsia="宋体" w:cs="Arial"/>
          <w:sz w:val="24"/>
          <w:szCs w:val="24"/>
          <w:lang w:val="en-US" w:eastAsia="zh-CN"/>
        </w:rPr>
        <w:t>0</w:t>
      </w:r>
      <w:r>
        <w:rPr>
          <w:rFonts w:hint="eastAsia" w:ascii="宋体" w:hAnsi="宋体" w:eastAsia="宋体" w:cs="Arial"/>
          <w:sz w:val="24"/>
          <w:szCs w:val="24"/>
          <w:lang w:val="en-US" w:eastAsia="zh-CN"/>
        </w:rPr>
        <w:t>mm</w:t>
      </w:r>
      <w:r>
        <w:rPr>
          <w:rFonts w:hint="default" w:ascii="宋体" w:hAnsi="宋体" w:eastAsia="宋体" w:cs="Arial"/>
          <w:sz w:val="24"/>
          <w:szCs w:val="24"/>
          <w:lang w:val="en-US" w:eastAsia="zh-CN"/>
        </w:rPr>
        <w:t>±0.2mm</w:t>
      </w:r>
    </w:p>
    <w:p w14:paraId="06C7D42B">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包</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：有晶体眼人工晶体</w:t>
      </w:r>
    </w:p>
    <w:p w14:paraId="4A24CF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材料：</w:t>
      </w:r>
    </w:p>
    <w:p w14:paraId="19B3F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1.1、</w:t>
      </w:r>
      <w:r>
        <w:rPr>
          <w:rFonts w:hint="default" w:ascii="宋体" w:hAnsi="宋体" w:cs="宋体"/>
          <w:sz w:val="24"/>
          <w:szCs w:val="24"/>
          <w:lang w:val="en-US" w:eastAsia="zh-CN"/>
        </w:rPr>
        <w:t>材质: Balance Acrylic 平衡型丙烯酸酯材料</w:t>
      </w:r>
    </w:p>
    <w:p w14:paraId="2EA1CA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1.2、</w:t>
      </w:r>
      <w:r>
        <w:rPr>
          <w:rFonts w:hint="default" w:ascii="宋体" w:hAnsi="宋体" w:cs="宋体"/>
          <w:sz w:val="24"/>
          <w:szCs w:val="24"/>
          <w:lang w:val="en-US" w:eastAsia="zh-CN"/>
        </w:rPr>
        <w:t>特性: 优质的光学性能：1.50高折射率；稳定的力学性能：支撑性良好，压缩状态下形变量低； 良好的化学性能（生物相容性）：抗沉积、钙化、零闪辉。</w:t>
      </w:r>
    </w:p>
    <w:p w14:paraId="2644D0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光学性能：</w:t>
      </w:r>
    </w:p>
    <w:p w14:paraId="122E32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矫治范围: 覆盖广泛的近视度数。</w:t>
      </w:r>
    </w:p>
    <w:p w14:paraId="0AA398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2.2、</w:t>
      </w:r>
      <w:r>
        <w:rPr>
          <w:rFonts w:hint="default" w:ascii="宋体" w:hAnsi="宋体" w:cs="宋体"/>
          <w:sz w:val="24"/>
          <w:szCs w:val="24"/>
          <w:lang w:val="en-US" w:eastAsia="zh-CN"/>
        </w:rPr>
        <w:t>近视:  -3.25D至 -18.00D。</w:t>
      </w:r>
    </w:p>
    <w:p w14:paraId="64F421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2.3、</w:t>
      </w:r>
      <w:r>
        <w:rPr>
          <w:rFonts w:hint="default" w:ascii="宋体" w:hAnsi="宋体" w:cs="宋体"/>
          <w:sz w:val="24"/>
          <w:szCs w:val="24"/>
          <w:lang w:val="en-US" w:eastAsia="zh-CN"/>
        </w:rPr>
        <w:t>光学区直径: 6.0mm。</w:t>
      </w:r>
    </w:p>
    <w:p w14:paraId="23F905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2.4、</w:t>
      </w:r>
      <w:r>
        <w:rPr>
          <w:rFonts w:hint="default" w:ascii="宋体" w:hAnsi="宋体" w:cs="宋体"/>
          <w:sz w:val="24"/>
          <w:szCs w:val="24"/>
          <w:lang w:val="en-US" w:eastAsia="zh-CN"/>
        </w:rPr>
        <w:t>光焦度精度: 符合YY0290.8-2023《眼科光学人工晶状体第8部分：基本要求》标准。</w:t>
      </w:r>
    </w:p>
    <w:p w14:paraId="78EBB5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物理规格：</w:t>
      </w:r>
    </w:p>
    <w:p w14:paraId="38E5DF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3.1、</w:t>
      </w:r>
      <w:r>
        <w:rPr>
          <w:rFonts w:hint="default" w:ascii="宋体" w:hAnsi="宋体" w:cs="宋体"/>
          <w:sz w:val="24"/>
          <w:szCs w:val="24"/>
          <w:lang w:val="en-US" w:eastAsia="zh-CN"/>
        </w:rPr>
        <w:t>全长（总直径）: 提供多种规格，如11.5mm、11.8mm、12.1mm、12.4mm、12.7mm、13.0mm、13.3mm、13.6mm、13.9mm、14.2mm等，以适应不同眼轴和前房尺寸。</w:t>
      </w:r>
    </w:p>
    <w:p w14:paraId="026D52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3.2、</w:t>
      </w:r>
      <w:r>
        <w:rPr>
          <w:rFonts w:hint="default" w:ascii="宋体" w:hAnsi="宋体" w:cs="宋体"/>
          <w:sz w:val="24"/>
          <w:szCs w:val="24"/>
          <w:lang w:val="en-US" w:eastAsia="zh-CN"/>
        </w:rPr>
        <w:t>光学区直径: 明确标注，如6.0mm。</w:t>
      </w:r>
    </w:p>
    <w:p w14:paraId="470AFC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3.3、</w:t>
      </w:r>
      <w:r>
        <w:rPr>
          <w:rFonts w:hint="default" w:ascii="宋体" w:hAnsi="宋体" w:cs="宋体"/>
          <w:sz w:val="24"/>
          <w:szCs w:val="24"/>
          <w:lang w:val="en-US" w:eastAsia="zh-CN"/>
        </w:rPr>
        <w:t>中央厚度: 提供典型度数下的参考值，体现产品超薄特性。</w:t>
      </w:r>
    </w:p>
    <w:p w14:paraId="511A290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3.4、</w:t>
      </w:r>
      <w:r>
        <w:rPr>
          <w:rFonts w:hint="default" w:ascii="宋体" w:hAnsi="宋体" w:cs="宋体"/>
          <w:sz w:val="24"/>
          <w:szCs w:val="24"/>
          <w:lang w:val="en-US" w:eastAsia="zh-CN"/>
        </w:rPr>
        <w:t>襻型设计:可折叠一件式四角平板襻型,与前房角自然匹配，确保房水自然循环，有效预防白内障的发生。</w:t>
      </w:r>
    </w:p>
    <w:p w14:paraId="19E218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4、</w:t>
      </w:r>
      <w:r>
        <w:rPr>
          <w:rFonts w:hint="default" w:ascii="宋体" w:hAnsi="宋体" w:cs="宋体"/>
          <w:sz w:val="24"/>
          <w:szCs w:val="24"/>
          <w:lang w:val="en-US" w:eastAsia="zh-CN"/>
        </w:rPr>
        <w:t>设计特性：</w:t>
      </w:r>
    </w:p>
    <w:p w14:paraId="1B9A92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4.1、</w:t>
      </w:r>
      <w:r>
        <w:rPr>
          <w:rFonts w:hint="default" w:ascii="宋体" w:hAnsi="宋体" w:cs="宋体"/>
          <w:sz w:val="24"/>
          <w:szCs w:val="24"/>
          <w:lang w:val="en-US" w:eastAsia="zh-CN"/>
        </w:rPr>
        <w:t>中心孔设计: 必须具有中心孔，无需术前虹膜周切，促进房水自然循环，维持眼内压稳定。</w:t>
      </w:r>
    </w:p>
    <w:p w14:paraId="2B523B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4.2、</w:t>
      </w:r>
      <w:r>
        <w:rPr>
          <w:rFonts w:hint="default" w:ascii="宋体" w:hAnsi="宋体" w:cs="宋体"/>
          <w:sz w:val="24"/>
          <w:szCs w:val="24"/>
          <w:lang w:val="en-US" w:eastAsia="zh-CN"/>
        </w:rPr>
        <w:t>预装式: 产品在出厂时应已预装于推注器内，无菌并提供保护盒。</w:t>
      </w:r>
    </w:p>
    <w:p w14:paraId="6AE651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default" w:ascii="宋体" w:hAnsi="宋体" w:cs="宋体"/>
          <w:sz w:val="24"/>
          <w:szCs w:val="24"/>
          <w:lang w:val="en-US" w:eastAsia="zh-CN"/>
        </w:rPr>
        <w:t>无菌及包装：</w:t>
      </w:r>
    </w:p>
    <w:p w14:paraId="5CB6E3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5.1、</w:t>
      </w:r>
      <w:r>
        <w:rPr>
          <w:rFonts w:hint="default" w:ascii="宋体" w:hAnsi="宋体" w:cs="宋体"/>
          <w:sz w:val="24"/>
          <w:szCs w:val="24"/>
          <w:lang w:val="en-US" w:eastAsia="zh-CN"/>
        </w:rPr>
        <w:t>无菌状态: 产品应以无菌状态提供，灭菌方式为环氧乙烷（EO）或其他经NMPA批准的灭菌方式。</w:t>
      </w:r>
    </w:p>
    <w:p w14:paraId="220949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5.2、</w:t>
      </w:r>
      <w:r>
        <w:rPr>
          <w:rFonts w:hint="default" w:ascii="宋体" w:hAnsi="宋体" w:cs="宋体"/>
          <w:sz w:val="24"/>
          <w:szCs w:val="24"/>
          <w:lang w:val="en-US" w:eastAsia="zh-CN"/>
        </w:rPr>
        <w:t>初包装: 产品采用一次性的专用推注系统作为初包装，确保无菌屏障完整。</w:t>
      </w:r>
    </w:p>
    <w:p w14:paraId="34144B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5.3、</w:t>
      </w:r>
      <w:r>
        <w:rPr>
          <w:rFonts w:hint="default" w:ascii="宋体" w:hAnsi="宋体" w:cs="宋体"/>
          <w:sz w:val="24"/>
          <w:szCs w:val="24"/>
          <w:lang w:val="en-US" w:eastAsia="zh-CN"/>
        </w:rPr>
        <w:t>外包装: 中英文标识清晰，包含产品名称、型号、规格、度数、批号、失效日期、灭菌方式、UDI码等信息（包括但不限于以上信息）。</w:t>
      </w:r>
    </w:p>
    <w:p w14:paraId="520573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6、</w:t>
      </w:r>
      <w:r>
        <w:rPr>
          <w:rFonts w:hint="default" w:ascii="宋体" w:hAnsi="宋体" w:cs="宋体"/>
          <w:sz w:val="24"/>
          <w:szCs w:val="24"/>
          <w:lang w:val="en-US" w:eastAsia="zh-CN"/>
        </w:rPr>
        <w:t>配置清单：</w:t>
      </w:r>
    </w:p>
    <w:p w14:paraId="5A9C707B">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default" w:ascii="宋体" w:hAnsi="宋体" w:cs="Arial"/>
          <w:sz w:val="24"/>
          <w:szCs w:val="24"/>
          <w:lang w:val="en-US" w:eastAsia="zh-CN"/>
        </w:rPr>
      </w:pPr>
      <w:r>
        <w:rPr>
          <w:rFonts w:hint="eastAsia" w:ascii="宋体" w:hAnsi="宋体" w:cs="Arial"/>
          <w:sz w:val="24"/>
          <w:szCs w:val="24"/>
          <w:lang w:val="en-US" w:eastAsia="zh-CN"/>
        </w:rPr>
        <w:t>6.1、</w:t>
      </w:r>
      <w:r>
        <w:rPr>
          <w:rFonts w:hint="default" w:ascii="宋体" w:hAnsi="宋体" w:cs="Arial"/>
          <w:sz w:val="24"/>
          <w:szCs w:val="24"/>
          <w:lang w:val="en-US" w:eastAsia="zh-CN"/>
        </w:rPr>
        <w:t>单品配置: 每片PR产品应包含：预装好PR的一次性推注器，无菌保护盒，产品标签。</w:t>
      </w:r>
    </w:p>
    <w:p w14:paraId="17A0DD33">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default" w:ascii="宋体" w:hAnsi="宋体" w:cs="Arial"/>
          <w:sz w:val="24"/>
          <w:szCs w:val="24"/>
          <w:lang w:val="en-US" w:eastAsia="zh-CN"/>
        </w:rPr>
      </w:pPr>
      <w:r>
        <w:rPr>
          <w:rFonts w:hint="eastAsia" w:ascii="宋体" w:hAnsi="宋体" w:cs="Arial"/>
          <w:sz w:val="24"/>
          <w:szCs w:val="24"/>
          <w:lang w:val="en-US" w:eastAsia="zh-CN"/>
        </w:rPr>
        <w:t>6.2、</w:t>
      </w:r>
      <w:r>
        <w:rPr>
          <w:rFonts w:hint="default" w:ascii="宋体" w:hAnsi="宋体" w:cs="Arial"/>
          <w:sz w:val="24"/>
          <w:szCs w:val="24"/>
          <w:lang w:val="en-US" w:eastAsia="zh-CN"/>
        </w:rPr>
        <w:t>配套器械: 提供与推注器匹配的手术专用配套器械（专用调晶体拉镊、专用调位钩等），但须单独列明，不计入晶体本身价格。</w:t>
      </w:r>
    </w:p>
    <w:p w14:paraId="1490671D">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default" w:ascii="宋体" w:hAnsi="宋体" w:cs="Arial"/>
          <w:sz w:val="24"/>
          <w:szCs w:val="24"/>
          <w:lang w:val="en-US" w:eastAsia="zh-CN"/>
        </w:rPr>
      </w:pPr>
      <w:r>
        <w:rPr>
          <w:rFonts w:hint="eastAsia" w:ascii="宋体" w:hAnsi="宋体" w:cs="Arial"/>
          <w:sz w:val="24"/>
          <w:szCs w:val="24"/>
          <w:lang w:val="en-US" w:eastAsia="zh-CN"/>
        </w:rPr>
        <w:t>6.3、</w:t>
      </w:r>
      <w:r>
        <w:rPr>
          <w:rFonts w:hint="default" w:ascii="宋体" w:hAnsi="宋体" w:cs="Arial"/>
          <w:sz w:val="24"/>
          <w:szCs w:val="24"/>
          <w:lang w:val="en-US" w:eastAsia="zh-CN"/>
        </w:rPr>
        <w:t>规格提供:提供覆盖近视、散光全范围的全系列产品型号和度数，确保临床可根据患者情况灵活选择。</w:t>
      </w:r>
    </w:p>
    <w:p w14:paraId="4FFF2A32">
      <w:pP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三、商务要求</w:t>
      </w:r>
      <w:bookmarkEnd w:id="250"/>
    </w:p>
    <w:bookmarkEnd w:id="239"/>
    <w:bookmarkEnd w:id="251"/>
    <w:bookmarkEnd w:id="252"/>
    <w:bookmarkEnd w:id="253"/>
    <w:p w14:paraId="57C283FB">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cs="Arial"/>
          <w:sz w:val="24"/>
          <w:szCs w:val="24"/>
        </w:rPr>
      </w:pPr>
      <w:bookmarkStart w:id="259" w:name="_Toc13360"/>
      <w:r>
        <w:rPr>
          <w:rFonts w:hint="eastAsia" w:ascii="宋体" w:hAnsi="宋体" w:cs="Arial"/>
          <w:sz w:val="24"/>
          <w:szCs w:val="24"/>
          <w:lang w:val="en-US" w:eastAsia="zh-CN"/>
        </w:rPr>
        <w:t>1.</w:t>
      </w:r>
      <w:r>
        <w:rPr>
          <w:rFonts w:hint="eastAsia" w:ascii="宋体" w:hAnsi="宋体" w:cs="Arial"/>
          <w:sz w:val="24"/>
          <w:szCs w:val="24"/>
          <w:lang w:eastAsia="zh-CN"/>
        </w:rPr>
        <w:t>详细的产品技术文件，包括但不限于：产品注册证及相关材料、规格参数资料、产品彩页资料等，加盖公司印章</w:t>
      </w:r>
      <w:r>
        <w:rPr>
          <w:rFonts w:hint="eastAsia" w:ascii="宋体" w:hAnsi="宋体" w:cs="Arial"/>
          <w:sz w:val="24"/>
          <w:szCs w:val="24"/>
        </w:rPr>
        <w:t>。</w:t>
      </w:r>
    </w:p>
    <w:p w14:paraId="4C3710D0">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default" w:ascii="宋体" w:hAnsi="宋体" w:eastAsia="宋体" w:cs="Arial"/>
          <w:sz w:val="24"/>
          <w:szCs w:val="24"/>
          <w:lang w:val="en-US" w:eastAsia="zh-CN"/>
        </w:rPr>
      </w:pPr>
      <w:r>
        <w:rPr>
          <w:rFonts w:hint="eastAsia" w:ascii="宋体" w:hAnsi="宋体" w:cs="Arial"/>
          <w:sz w:val="24"/>
          <w:szCs w:val="24"/>
          <w:lang w:val="en-US" w:eastAsia="zh-CN"/>
        </w:rPr>
        <w:t>2.</w:t>
      </w:r>
      <w:r>
        <w:rPr>
          <w:rFonts w:hint="eastAsia" w:ascii="宋体" w:hAnsi="宋体" w:cs="Arial"/>
          <w:sz w:val="24"/>
          <w:szCs w:val="24"/>
          <w:highlight w:val="none"/>
          <w:lang w:val="en-US" w:eastAsia="zh-CN"/>
        </w:rPr>
        <w:t>供应商需承诺所报产品价格在云南省供应价格最低价，并承诺可按照院方要求提供佐证材料等（提供承诺函）。</w:t>
      </w:r>
    </w:p>
    <w:p w14:paraId="135A44A0">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Style w:val="31"/>
          <w:rFonts w:hint="eastAsia" w:ascii="宋体" w:hAnsi="宋体" w:cs="宋体"/>
          <w:color w:val="auto"/>
          <w:highlight w:val="none"/>
        </w:rPr>
      </w:pPr>
      <w:r>
        <w:rPr>
          <w:rFonts w:hint="eastAsia" w:ascii="宋体" w:hAnsi="宋体" w:cs="Arial"/>
          <w:sz w:val="24"/>
          <w:szCs w:val="24"/>
          <w:highlight w:val="none"/>
          <w:lang w:val="en-US" w:eastAsia="zh-CN"/>
        </w:rPr>
        <w:t>3.提供售后服务和质量保证书。</w:t>
      </w:r>
      <w:bookmarkEnd w:id="240"/>
      <w:bookmarkEnd w:id="259"/>
    </w:p>
    <w:p w14:paraId="4CAB728F">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4.物流服务</w:t>
      </w:r>
      <w:r>
        <w:rPr>
          <w:rFonts w:hint="default" w:ascii="宋体" w:hAnsi="宋体" w:eastAsia="宋体" w:cs="Arial"/>
          <w:sz w:val="24"/>
          <w:szCs w:val="24"/>
          <w:highlight w:val="none"/>
          <w:lang w:val="en-US" w:eastAsia="zh-CN"/>
        </w:rPr>
        <w:t>: 具备高效的供应链体系，能根据医院需求提供及时、准确的配送服务，并具备处理紧急订单的能力</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2CDEB840">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5.质量保证</w:t>
      </w:r>
      <w:r>
        <w:rPr>
          <w:rFonts w:hint="default" w:ascii="宋体" w:hAnsi="宋体" w:eastAsia="宋体" w:cs="Arial"/>
          <w:sz w:val="24"/>
          <w:szCs w:val="24"/>
          <w:highlight w:val="none"/>
          <w:lang w:val="en-US" w:eastAsia="zh-CN"/>
        </w:rPr>
        <w:t>: 提供产品质量承诺书，保证产品在有效期内且性能符合所有注册标准</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040773F9">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6.</w:t>
      </w:r>
      <w:r>
        <w:rPr>
          <w:rFonts w:hint="default" w:ascii="宋体" w:hAnsi="宋体" w:eastAsia="宋体" w:cs="Arial"/>
          <w:sz w:val="24"/>
          <w:szCs w:val="24"/>
          <w:highlight w:val="none"/>
          <w:lang w:val="en-US" w:eastAsia="zh-CN"/>
        </w:rPr>
        <w:t>临床支持: 提供全面的术前筛查支持（如</w:t>
      </w:r>
      <w:r>
        <w:rPr>
          <w:rFonts w:hint="eastAsia" w:ascii="宋体" w:hAnsi="宋体" w:eastAsia="宋体" w:cs="Arial"/>
          <w:sz w:val="24"/>
          <w:szCs w:val="24"/>
          <w:highlight w:val="none"/>
          <w:lang w:val="en-US" w:eastAsia="zh-CN"/>
        </w:rPr>
        <w:t>超声生物显微镜</w:t>
      </w:r>
      <w:r>
        <w:rPr>
          <w:rFonts w:hint="default" w:ascii="宋体" w:hAnsi="宋体" w:eastAsia="宋体" w:cs="Arial"/>
          <w:sz w:val="24"/>
          <w:szCs w:val="24"/>
          <w:highlight w:val="none"/>
          <w:lang w:val="en-US" w:eastAsia="zh-CN"/>
        </w:rPr>
        <w:t>、适应症判断咨询）</w:t>
      </w:r>
      <w:r>
        <w:rPr>
          <w:rFonts w:hint="eastAsia" w:ascii="宋体" w:hAnsi="宋体" w:eastAsia="宋体" w:cs="Arial"/>
          <w:sz w:val="24"/>
          <w:szCs w:val="24"/>
          <w:highlight w:val="none"/>
          <w:lang w:val="en-US" w:eastAsia="zh-CN"/>
        </w:rPr>
        <w:t>（本条款仅针对包</w:t>
      </w:r>
      <w:r>
        <w:rPr>
          <w:rFonts w:hint="eastAsia" w:ascii="宋体" w:hAnsi="宋体" w:cs="Arial"/>
          <w:sz w:val="24"/>
          <w:szCs w:val="24"/>
          <w:highlight w:val="none"/>
          <w:lang w:val="en-US" w:eastAsia="zh-CN"/>
        </w:rPr>
        <w:t>2</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2B610DD9">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7.</w:t>
      </w:r>
      <w:r>
        <w:rPr>
          <w:rFonts w:hint="default" w:ascii="宋体" w:hAnsi="宋体" w:eastAsia="宋体" w:cs="Arial"/>
          <w:sz w:val="24"/>
          <w:szCs w:val="24"/>
          <w:highlight w:val="none"/>
          <w:lang w:val="en-US" w:eastAsia="zh-CN"/>
        </w:rPr>
        <w:t>培训服务: 为医院眼科医生及手术团队提供持续的产品知识、手术技巧、并发症处理等专业培训（线上或线下）</w:t>
      </w:r>
      <w:r>
        <w:rPr>
          <w:rFonts w:hint="eastAsia" w:ascii="宋体" w:hAnsi="宋体" w:eastAsia="宋体" w:cs="Arial"/>
          <w:sz w:val="24"/>
          <w:szCs w:val="24"/>
          <w:highlight w:val="none"/>
          <w:lang w:val="en-US" w:eastAsia="zh-CN"/>
        </w:rPr>
        <w:t>（本条款仅针对包</w:t>
      </w:r>
      <w:r>
        <w:rPr>
          <w:rFonts w:hint="eastAsia" w:ascii="宋体" w:hAnsi="宋体" w:cs="Arial"/>
          <w:sz w:val="24"/>
          <w:szCs w:val="24"/>
          <w:highlight w:val="none"/>
          <w:lang w:val="en-US" w:eastAsia="zh-CN"/>
        </w:rPr>
        <w:t>2</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5575E144">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8.</w:t>
      </w:r>
      <w:r>
        <w:rPr>
          <w:rFonts w:hint="default" w:ascii="宋体" w:hAnsi="宋体" w:eastAsia="宋体" w:cs="Arial"/>
          <w:sz w:val="24"/>
          <w:szCs w:val="24"/>
          <w:highlight w:val="none"/>
          <w:lang w:val="en-US" w:eastAsia="zh-CN"/>
        </w:rPr>
        <w:t>学术支持: 承诺提供国内外最新的临床研究数据、文献资料及学术会议支持</w:t>
      </w:r>
      <w:r>
        <w:rPr>
          <w:rFonts w:hint="eastAsia" w:ascii="宋体" w:hAnsi="宋体" w:eastAsia="宋体" w:cs="Arial"/>
          <w:sz w:val="24"/>
          <w:szCs w:val="24"/>
          <w:highlight w:val="none"/>
          <w:lang w:val="en-US" w:eastAsia="zh-CN"/>
        </w:rPr>
        <w:t>（本条款仅针对包</w:t>
      </w:r>
      <w:r>
        <w:rPr>
          <w:rFonts w:hint="eastAsia" w:ascii="宋体" w:hAnsi="宋体" w:cs="Arial"/>
          <w:sz w:val="24"/>
          <w:szCs w:val="24"/>
          <w:highlight w:val="none"/>
          <w:lang w:val="en-US" w:eastAsia="zh-CN"/>
        </w:rPr>
        <w:t>2</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1398712B">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9.</w:t>
      </w:r>
      <w:r>
        <w:rPr>
          <w:rFonts w:hint="default" w:ascii="宋体" w:hAnsi="宋体" w:eastAsia="宋体" w:cs="Arial"/>
          <w:sz w:val="24"/>
          <w:szCs w:val="24"/>
          <w:highlight w:val="none"/>
          <w:lang w:val="en-US" w:eastAsia="zh-CN"/>
        </w:rPr>
        <w:t>售后服务: 设立专职客服和临床专家，提供7x24小时应急响应，处理任何与产品相关的问题</w:t>
      </w:r>
      <w:r>
        <w:rPr>
          <w:rFonts w:hint="eastAsia" w:ascii="宋体" w:hAnsi="宋体" w:eastAsia="宋体" w:cs="Arial"/>
          <w:sz w:val="24"/>
          <w:szCs w:val="24"/>
          <w:highlight w:val="none"/>
          <w:lang w:val="en-US" w:eastAsia="zh-CN"/>
        </w:rPr>
        <w:t>（本条款仅针对包</w:t>
      </w:r>
      <w:r>
        <w:rPr>
          <w:rFonts w:hint="eastAsia" w:ascii="宋体" w:hAnsi="宋体" w:cs="Arial"/>
          <w:sz w:val="24"/>
          <w:szCs w:val="24"/>
          <w:highlight w:val="none"/>
          <w:lang w:val="en-US" w:eastAsia="zh-CN"/>
        </w:rPr>
        <w:t>2</w:t>
      </w:r>
      <w:r>
        <w:rPr>
          <w:rFonts w:hint="eastAsia" w:ascii="宋体" w:hAnsi="宋体" w:eastAsia="宋体" w:cs="Arial"/>
          <w:sz w:val="24"/>
          <w:szCs w:val="24"/>
          <w:highlight w:val="none"/>
          <w:lang w:val="en-US" w:eastAsia="zh-CN"/>
        </w:rPr>
        <w:t>，提供承诺函）</w:t>
      </w:r>
      <w:r>
        <w:rPr>
          <w:rFonts w:hint="default" w:ascii="宋体" w:hAnsi="宋体" w:eastAsia="宋体" w:cs="Arial"/>
          <w:sz w:val="24"/>
          <w:szCs w:val="24"/>
          <w:highlight w:val="none"/>
          <w:lang w:val="en-US" w:eastAsia="zh-CN"/>
        </w:rPr>
        <w:t>。</w:t>
      </w:r>
    </w:p>
    <w:p w14:paraId="446B24C3">
      <w:pPr>
        <w:pStyle w:val="3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Style w:val="31"/>
          <w:rFonts w:hint="eastAsia" w:ascii="宋体" w:hAnsi="宋体" w:cs="宋体"/>
          <w:color w:val="auto"/>
          <w:highlight w:val="none"/>
        </w:rPr>
      </w:pPr>
      <w:r>
        <w:rPr>
          <w:rFonts w:hint="eastAsia" w:ascii="宋体" w:hAnsi="宋体" w:eastAsia="宋体" w:cs="Arial"/>
          <w:sz w:val="24"/>
          <w:szCs w:val="24"/>
          <w:highlight w:val="none"/>
          <w:lang w:val="en-US" w:eastAsia="zh-CN"/>
        </w:rPr>
        <w:br w:type="page"/>
      </w:r>
    </w:p>
    <w:p w14:paraId="504A703D">
      <w:pPr>
        <w:jc w:val="center"/>
        <w:outlineLvl w:val="0"/>
        <w:rPr>
          <w:rStyle w:val="31"/>
          <w:rFonts w:hint="eastAsia" w:ascii="宋体" w:hAnsi="宋体" w:cs="宋体"/>
          <w:color w:val="auto"/>
          <w:highlight w:val="none"/>
        </w:rPr>
      </w:pPr>
      <w:bookmarkStart w:id="260" w:name="_Toc30932"/>
      <w:r>
        <w:rPr>
          <w:rStyle w:val="31"/>
          <w:rFonts w:hint="eastAsia" w:ascii="宋体" w:hAnsi="宋体" w:cs="宋体"/>
          <w:color w:val="auto"/>
          <w:highlight w:val="none"/>
        </w:rPr>
        <w:t>第</w:t>
      </w:r>
      <w:r>
        <w:rPr>
          <w:rStyle w:val="31"/>
          <w:rFonts w:hint="eastAsia" w:ascii="宋体" w:hAnsi="宋体" w:eastAsia="宋体" w:cs="宋体"/>
          <w:color w:val="auto"/>
          <w:highlight w:val="none"/>
          <w:lang w:eastAsia="zh-CN"/>
        </w:rPr>
        <w:t>六</w:t>
      </w:r>
      <w:r>
        <w:rPr>
          <w:rStyle w:val="31"/>
          <w:rFonts w:hint="eastAsia" w:ascii="宋体" w:hAnsi="宋体" w:cs="宋体"/>
          <w:color w:val="auto"/>
          <w:highlight w:val="none"/>
        </w:rPr>
        <w:t xml:space="preserve">章 </w:t>
      </w:r>
      <w:r>
        <w:rPr>
          <w:rStyle w:val="31"/>
          <w:rFonts w:hint="eastAsia" w:ascii="宋体" w:hAnsi="宋体" w:cs="宋体"/>
          <w:color w:val="auto"/>
          <w:szCs w:val="22"/>
          <w:highlight w:val="none"/>
        </w:rPr>
        <w:t>响应文件</w:t>
      </w:r>
      <w:r>
        <w:rPr>
          <w:rStyle w:val="31"/>
          <w:rFonts w:hint="eastAsia" w:ascii="宋体" w:hAnsi="宋体" w:cs="宋体"/>
          <w:color w:val="auto"/>
          <w:highlight w:val="none"/>
        </w:rPr>
        <w:t>格式</w:t>
      </w:r>
      <w:bookmarkEnd w:id="254"/>
      <w:bookmarkEnd w:id="255"/>
      <w:bookmarkEnd w:id="260"/>
    </w:p>
    <w:p w14:paraId="5854C7C6">
      <w:pPr>
        <w:spacing w:line="360" w:lineRule="auto"/>
        <w:rPr>
          <w:rFonts w:hint="eastAsia" w:ascii="宋体" w:hAnsi="宋体" w:cs="宋体"/>
          <w:b/>
          <w:color w:val="auto"/>
          <w:sz w:val="32"/>
          <w:szCs w:val="32"/>
          <w:highlight w:val="none"/>
          <w:u w:val="single"/>
        </w:rPr>
      </w:pPr>
    </w:p>
    <w:p w14:paraId="77D82F30">
      <w:pPr>
        <w:spacing w:line="360" w:lineRule="auto"/>
        <w:jc w:val="center"/>
        <w:rPr>
          <w:rFonts w:hint="eastAsia" w:ascii="宋体" w:hAnsi="宋体" w:cs="宋体"/>
          <w:b/>
          <w:bCs/>
          <w:color w:val="auto"/>
          <w:sz w:val="48"/>
          <w:szCs w:val="48"/>
          <w:highlight w:val="none"/>
        </w:rPr>
      </w:pPr>
      <w:r>
        <w:rPr>
          <w:rFonts w:hint="eastAsia"/>
          <w:b/>
          <w:bCs/>
          <w:color w:val="auto"/>
          <w:sz w:val="48"/>
          <w:szCs w:val="48"/>
          <w:highlight w:val="none"/>
          <w:lang w:eastAsia="zh-CN"/>
        </w:rPr>
        <w:t>红河哈尼族彝族自治州第三人民医院眼科耗材采购项目（三次）</w:t>
      </w:r>
    </w:p>
    <w:p w14:paraId="2A9716E2">
      <w:pPr>
        <w:spacing w:line="360" w:lineRule="auto"/>
        <w:rPr>
          <w:rFonts w:hint="eastAsia" w:ascii="宋体" w:hAnsi="宋体" w:cs="宋体"/>
          <w:color w:val="auto"/>
          <w:sz w:val="24"/>
          <w:highlight w:val="none"/>
        </w:rPr>
      </w:pPr>
    </w:p>
    <w:p w14:paraId="3362F61F">
      <w:pPr>
        <w:pStyle w:val="11"/>
        <w:spacing w:line="360" w:lineRule="auto"/>
        <w:jc w:val="center"/>
        <w:rPr>
          <w:rFonts w:hint="eastAsia" w:hAnsi="宋体" w:cs="宋体"/>
          <w:b/>
          <w:color w:val="auto"/>
          <w:sz w:val="84"/>
          <w:szCs w:val="84"/>
          <w:highlight w:val="none"/>
        </w:rPr>
      </w:pPr>
    </w:p>
    <w:p w14:paraId="1AEEE282">
      <w:pPr>
        <w:pStyle w:val="11"/>
        <w:spacing w:line="360" w:lineRule="auto"/>
        <w:jc w:val="center"/>
        <w:rPr>
          <w:rFonts w:hint="eastAsia" w:hAnsi="宋体" w:cs="宋体"/>
          <w:b/>
          <w:color w:val="auto"/>
          <w:sz w:val="84"/>
          <w:szCs w:val="84"/>
          <w:highlight w:val="none"/>
        </w:rPr>
      </w:pPr>
      <w:r>
        <w:rPr>
          <w:rFonts w:hint="eastAsia" w:hAnsi="宋体" w:cs="宋体"/>
          <w:b/>
          <w:color w:val="auto"/>
          <w:sz w:val="84"/>
          <w:szCs w:val="84"/>
          <w:highlight w:val="none"/>
        </w:rPr>
        <w:t>响 应 文 件</w:t>
      </w:r>
    </w:p>
    <w:p w14:paraId="79DA6037">
      <w:pPr>
        <w:spacing w:line="360" w:lineRule="auto"/>
        <w:rPr>
          <w:rFonts w:hint="eastAsia" w:ascii="宋体" w:hAnsi="宋体" w:cs="宋体"/>
          <w:color w:val="auto"/>
          <w:sz w:val="24"/>
          <w:highlight w:val="none"/>
        </w:rPr>
      </w:pPr>
    </w:p>
    <w:p w14:paraId="3E16AC7F">
      <w:pPr>
        <w:pStyle w:val="11"/>
        <w:spacing w:line="360" w:lineRule="auto"/>
        <w:jc w:val="center"/>
        <w:rPr>
          <w:rFonts w:hint="eastAsia" w:hAnsi="宋体" w:cs="宋体"/>
          <w:b/>
          <w:color w:val="auto"/>
          <w:sz w:val="28"/>
          <w:szCs w:val="28"/>
          <w:highlight w:val="none"/>
        </w:rPr>
      </w:pPr>
    </w:p>
    <w:p w14:paraId="79BBCBB3">
      <w:pPr>
        <w:pStyle w:val="11"/>
        <w:spacing w:line="360" w:lineRule="auto"/>
        <w:jc w:val="center"/>
        <w:rPr>
          <w:rFonts w:hint="eastAsia" w:hAnsi="宋体" w:eastAsia="宋体" w:cs="宋体"/>
          <w:b/>
          <w:color w:val="auto"/>
          <w:sz w:val="28"/>
          <w:szCs w:val="28"/>
          <w:highlight w:val="none"/>
          <w:u w:val="single"/>
          <w:lang w:eastAsia="zh-CN"/>
        </w:rPr>
      </w:pPr>
      <w:r>
        <w:rPr>
          <w:rFonts w:hint="eastAsia" w:hAnsi="宋体" w:cs="宋体"/>
          <w:b/>
          <w:color w:val="auto"/>
          <w:sz w:val="28"/>
          <w:szCs w:val="28"/>
          <w:highlight w:val="none"/>
        </w:rPr>
        <w:t>项目编号：</w:t>
      </w:r>
      <w:r>
        <w:rPr>
          <w:rFonts w:hint="eastAsia" w:hAnsi="宋体" w:cs="宋体"/>
          <w:b/>
          <w:color w:val="auto"/>
          <w:sz w:val="28"/>
          <w:szCs w:val="28"/>
          <w:highlight w:val="none"/>
          <w:u w:val="single"/>
          <w:lang w:eastAsia="zh-CN"/>
        </w:rPr>
        <w:t>HHZSY-YNCG-089-202500916</w:t>
      </w:r>
    </w:p>
    <w:p w14:paraId="13BB31E1">
      <w:pPr>
        <w:pStyle w:val="11"/>
        <w:spacing w:line="360" w:lineRule="auto"/>
        <w:ind w:firstLine="3480" w:firstLineChars="1238"/>
        <w:rPr>
          <w:rFonts w:hint="default" w:hAnsi="宋体" w:eastAsia="宋体" w:cs="宋体"/>
          <w:b/>
          <w:color w:val="auto"/>
          <w:sz w:val="28"/>
          <w:szCs w:val="28"/>
          <w:highlight w:val="none"/>
          <w:u w:val="single"/>
          <w:lang w:val="en-US" w:eastAsia="zh-CN"/>
        </w:rPr>
      </w:pPr>
      <w:r>
        <w:rPr>
          <w:rFonts w:hint="eastAsia" w:hAnsi="宋体" w:cs="宋体"/>
          <w:b/>
          <w:color w:val="auto"/>
          <w:sz w:val="28"/>
          <w:szCs w:val="28"/>
          <w:highlight w:val="none"/>
          <w:lang w:eastAsia="zh-CN"/>
        </w:rPr>
        <w:t>包号：</w:t>
      </w:r>
      <w:r>
        <w:rPr>
          <w:rFonts w:hint="eastAsia" w:hAnsi="宋体" w:cs="宋体"/>
          <w:b/>
          <w:color w:val="auto"/>
          <w:sz w:val="28"/>
          <w:szCs w:val="28"/>
          <w:highlight w:val="none"/>
          <w:u w:val="single"/>
          <w:lang w:val="en-US" w:eastAsia="zh-CN"/>
        </w:rPr>
        <w:t xml:space="preserve">                    </w:t>
      </w:r>
    </w:p>
    <w:p w14:paraId="7580221C">
      <w:pPr>
        <w:pStyle w:val="11"/>
        <w:spacing w:line="360" w:lineRule="auto"/>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14:paraId="303B586C">
      <w:pPr>
        <w:pStyle w:val="11"/>
        <w:spacing w:line="360" w:lineRule="auto"/>
        <w:ind w:firstLine="3480" w:firstLineChars="1238"/>
        <w:rPr>
          <w:rFonts w:hint="eastAsia" w:hAnsi="宋体" w:cs="宋体"/>
          <w:b/>
          <w:color w:val="auto"/>
          <w:sz w:val="28"/>
          <w:szCs w:val="28"/>
          <w:highlight w:val="none"/>
        </w:rPr>
      </w:pPr>
    </w:p>
    <w:p w14:paraId="14EC93AC">
      <w:pPr>
        <w:pStyle w:val="11"/>
        <w:spacing w:line="360" w:lineRule="auto"/>
        <w:rPr>
          <w:rFonts w:hint="eastAsia" w:hAnsi="宋体" w:cs="宋体"/>
          <w:b/>
          <w:color w:val="auto"/>
          <w:sz w:val="28"/>
          <w:szCs w:val="28"/>
          <w:highlight w:val="none"/>
        </w:rPr>
      </w:pPr>
    </w:p>
    <w:p w14:paraId="3424335C">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14:paraId="7D7BD216">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46190BF">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2E1E7DF8">
      <w:pPr>
        <w:spacing w:line="360" w:lineRule="auto"/>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4937016">
      <w:pPr>
        <w:spacing w:line="360" w:lineRule="auto"/>
        <w:ind w:firstLine="960" w:firstLineChars="400"/>
        <w:rPr>
          <w:rFonts w:hint="eastAsia" w:ascii="宋体" w:hAnsi="宋体" w:cs="宋体"/>
          <w:b/>
          <w:color w:val="auto"/>
          <w:sz w:val="30"/>
          <w:szCs w:val="3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Start w:id="261" w:name="_Toc3776"/>
      <w:bookmarkStart w:id="262" w:name="_Toc13353"/>
      <w:bookmarkStart w:id="263" w:name="_Toc30312"/>
      <w:bookmarkStart w:id="264" w:name="_Toc303756413"/>
      <w:bookmarkStart w:id="265" w:name="_Toc20410"/>
      <w:bookmarkStart w:id="266" w:name="_Toc28666"/>
    </w:p>
    <w:p w14:paraId="22DED5A0">
      <w:pPr>
        <w:rPr>
          <w:rFonts w:hint="eastAsia" w:ascii="宋体" w:hAnsi="宋体" w:cs="宋体"/>
          <w:b/>
          <w:color w:val="auto"/>
          <w:sz w:val="30"/>
          <w:szCs w:val="30"/>
          <w:highlight w:val="none"/>
        </w:rPr>
      </w:pPr>
      <w:bookmarkStart w:id="267" w:name="_Toc11708"/>
      <w:r>
        <w:rPr>
          <w:rFonts w:hint="eastAsia" w:ascii="宋体" w:hAnsi="宋体" w:cs="宋体"/>
          <w:b/>
          <w:color w:val="auto"/>
          <w:sz w:val="30"/>
          <w:szCs w:val="30"/>
          <w:highlight w:val="none"/>
        </w:rPr>
        <w:br w:type="page"/>
      </w:r>
    </w:p>
    <w:p w14:paraId="240237EA">
      <w:pPr>
        <w:jc w:val="center"/>
        <w:outlineLvl w:val="1"/>
        <w:rPr>
          <w:rFonts w:hint="eastAsia" w:ascii="宋体" w:hAnsi="宋体" w:cs="宋体"/>
          <w:b/>
          <w:color w:val="auto"/>
          <w:sz w:val="30"/>
          <w:szCs w:val="30"/>
          <w:highlight w:val="none"/>
        </w:rPr>
      </w:pPr>
      <w:r>
        <w:rPr>
          <w:rFonts w:hint="eastAsia" w:ascii="宋体" w:hAnsi="宋体" w:cs="宋体"/>
          <w:b/>
          <w:color w:val="auto"/>
          <w:sz w:val="30"/>
          <w:szCs w:val="30"/>
          <w:highlight w:val="none"/>
        </w:rPr>
        <w:t>一、</w:t>
      </w:r>
      <w:bookmarkEnd w:id="261"/>
      <w:r>
        <w:rPr>
          <w:rFonts w:hint="eastAsia" w:ascii="宋体" w:hAnsi="宋体" w:cs="宋体"/>
          <w:b/>
          <w:color w:val="auto"/>
          <w:sz w:val="30"/>
          <w:szCs w:val="30"/>
          <w:highlight w:val="none"/>
        </w:rPr>
        <w:t>资格审查文件格式</w:t>
      </w:r>
      <w:bookmarkEnd w:id="262"/>
      <w:bookmarkEnd w:id="263"/>
      <w:bookmarkEnd w:id="267"/>
    </w:p>
    <w:bookmarkEnd w:id="264"/>
    <w:bookmarkEnd w:id="265"/>
    <w:bookmarkEnd w:id="266"/>
    <w:p w14:paraId="5A21688A">
      <w:pPr>
        <w:snapToGrid w:val="0"/>
        <w:spacing w:before="120" w:beforeLines="50" w:after="50" w:line="360" w:lineRule="auto"/>
        <w:jc w:val="center"/>
        <w:outlineLvl w:val="2"/>
        <w:rPr>
          <w:rFonts w:hint="eastAsia" w:ascii="宋体" w:hAnsi="宋体" w:eastAsia="宋体" w:cs="宋体"/>
          <w:b/>
          <w:bCs/>
          <w:color w:val="auto"/>
          <w:sz w:val="24"/>
          <w:highlight w:val="none"/>
          <w:lang w:val="en-US" w:eastAsia="zh-CN"/>
        </w:rPr>
      </w:pPr>
      <w:bookmarkStart w:id="268" w:name="_Toc303756419"/>
      <w:r>
        <w:rPr>
          <w:rFonts w:hint="eastAsia" w:ascii="宋体" w:hAnsi="宋体" w:eastAsia="宋体" w:cs="宋体"/>
          <w:b/>
          <w:bCs/>
          <w:color w:val="auto"/>
          <w:sz w:val="24"/>
          <w:highlight w:val="none"/>
          <w:lang w:val="en-US" w:eastAsia="zh-CN"/>
        </w:rPr>
        <w:t>（一）具有独立承担民事责任的能力：</w:t>
      </w:r>
    </w:p>
    <w:p w14:paraId="1D547D4B">
      <w:pPr>
        <w:spacing w:line="360" w:lineRule="auto"/>
        <w:ind w:left="-158" w:leftChars="-75" w:firstLine="14" w:firstLineChars="6"/>
        <w:rPr>
          <w:rFonts w:hint="eastAsia" w:ascii="宋体" w:hAnsi="宋体" w:cs="宋体"/>
          <w:color w:val="auto"/>
          <w:sz w:val="24"/>
          <w:highlight w:val="none"/>
        </w:rPr>
      </w:pPr>
      <w:r>
        <w:rPr>
          <w:rFonts w:hint="eastAsia" w:ascii="宋体" w:hAnsi="宋体" w:cs="宋体"/>
          <w:color w:val="auto"/>
          <w:sz w:val="24"/>
          <w:highlight w:val="none"/>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p w14:paraId="49821930">
      <w:pPr>
        <w:snapToGrid w:val="0"/>
        <w:spacing w:before="120" w:beforeLines="50" w:after="50" w:line="360" w:lineRule="auto"/>
        <w:jc w:val="center"/>
        <w:outlineLvl w:val="2"/>
        <w:rPr>
          <w:rFonts w:hint="eastAsia" w:ascii="宋体" w:hAnsi="宋体" w:eastAsia="宋体" w:cs="宋体"/>
          <w:b/>
          <w:bCs/>
          <w:color w:val="auto"/>
          <w:sz w:val="24"/>
          <w:highlight w:val="none"/>
          <w:lang w:val="en-US" w:eastAsia="zh-CN"/>
        </w:rPr>
      </w:pPr>
      <w:bookmarkStart w:id="269" w:name="OLE_LINK22"/>
      <w:r>
        <w:rPr>
          <w:rFonts w:hint="eastAsia" w:ascii="宋体" w:hAnsi="宋体" w:eastAsia="宋体" w:cs="宋体"/>
          <w:b/>
          <w:bCs/>
          <w:color w:val="auto"/>
          <w:sz w:val="24"/>
          <w:highlight w:val="none"/>
          <w:lang w:val="en-US" w:eastAsia="zh-CN"/>
        </w:rPr>
        <w:t>（二）</w:t>
      </w:r>
      <w:bookmarkEnd w:id="269"/>
      <w:r>
        <w:rPr>
          <w:rFonts w:hint="eastAsia" w:ascii="宋体" w:hAnsi="宋体" w:eastAsia="宋体" w:cs="宋体"/>
          <w:b/>
          <w:bCs/>
          <w:color w:val="auto"/>
          <w:sz w:val="24"/>
          <w:highlight w:val="none"/>
          <w:lang w:val="en-US" w:eastAsia="zh-CN"/>
        </w:rPr>
        <w:t>基本资格条件承诺函</w:t>
      </w:r>
    </w:p>
    <w:p w14:paraId="2C8CA012">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w:t>
      </w:r>
      <w:r>
        <w:rPr>
          <w:rFonts w:hint="eastAsia" w:ascii="宋体" w:hAnsi="宋体" w:cs="宋体"/>
          <w:sz w:val="24"/>
          <w:highlight w:val="none"/>
          <w:lang w:eastAsia="zh-CN"/>
        </w:rPr>
        <w:t>人</w:t>
      </w:r>
      <w:r>
        <w:rPr>
          <w:rFonts w:hint="eastAsia" w:ascii="宋体" w:hAnsi="宋体" w:cs="宋体"/>
          <w:sz w:val="24"/>
          <w:highlight w:val="none"/>
        </w:rPr>
        <w:t>名称）：</w:t>
      </w:r>
    </w:p>
    <w:p w14:paraId="70C7540C">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供应商</w:t>
      </w:r>
      <w:bookmarkStart w:id="270" w:name="OLE_LINK47"/>
      <w:r>
        <w:rPr>
          <w:rFonts w:hint="eastAsia" w:ascii="宋体" w:hAnsi="宋体" w:cs="宋体"/>
          <w:sz w:val="24"/>
          <w:highlight w:val="none"/>
        </w:rPr>
        <w:t>名称</w:t>
      </w:r>
      <w:bookmarkEnd w:id="270"/>
      <w:r>
        <w:rPr>
          <w:rFonts w:hint="eastAsia" w:ascii="宋体" w:hAnsi="宋体" w:cs="宋体"/>
          <w:sz w:val="24"/>
          <w:highlight w:val="none"/>
        </w:rPr>
        <w:t>）郑重承诺：</w:t>
      </w:r>
    </w:p>
    <w:p w14:paraId="6B617B1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r>
        <w:rPr>
          <w:rFonts w:hint="eastAsia" w:ascii="宋体" w:hAnsi="宋体" w:cs="宋体"/>
          <w:sz w:val="24"/>
          <w:highlight w:val="none"/>
          <w:lang w:eastAsia="zh-CN"/>
        </w:rPr>
        <w:t>，</w:t>
      </w:r>
      <w:r>
        <w:rPr>
          <w:rFonts w:hint="eastAsia" w:ascii="宋体" w:hAnsi="宋体" w:cs="宋体"/>
          <w:sz w:val="24"/>
          <w:highlight w:val="none"/>
          <w:lang w:val="en-US" w:eastAsia="zh-CN"/>
        </w:rPr>
        <w:t>符合</w:t>
      </w:r>
      <w:r>
        <w:rPr>
          <w:rFonts w:hint="eastAsia" w:ascii="宋体" w:hAnsi="宋体" w:cs="宋体"/>
          <w:sz w:val="24"/>
          <w:highlight w:val="none"/>
        </w:rPr>
        <w:t>法律、行政法规规定的其他条件。</w:t>
      </w:r>
    </w:p>
    <w:p w14:paraId="7F8E707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2.我方未列入在信用中国网站（www.creditchina.gov.cn）“失信被执行人”、“重大税收违法案件当事人名单”中。</w:t>
      </w:r>
    </w:p>
    <w:p w14:paraId="6F7B29D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3.我方在采购项目评审（评标）环节结束后，随时接受采购人的检查验证，配合提供相关证明材料，证明符合规定的</w:t>
      </w:r>
      <w:r>
        <w:rPr>
          <w:rFonts w:hint="eastAsia" w:ascii="宋体" w:hAnsi="宋体" w:cs="宋体"/>
          <w:sz w:val="24"/>
          <w:highlight w:val="none"/>
          <w:lang w:val="en-US" w:eastAsia="zh-CN"/>
        </w:rPr>
        <w:t>供应商</w:t>
      </w:r>
      <w:r>
        <w:rPr>
          <w:rFonts w:hint="eastAsia" w:ascii="宋体" w:hAnsi="宋体" w:cs="宋体"/>
          <w:sz w:val="24"/>
          <w:highlight w:val="none"/>
        </w:rPr>
        <w:t>基本资格条件。</w:t>
      </w:r>
    </w:p>
    <w:p w14:paraId="52961BE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我方对以上承诺负全部法律责任。</w:t>
      </w:r>
    </w:p>
    <w:p w14:paraId="5E7146F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特此承诺。</w:t>
      </w:r>
    </w:p>
    <w:p w14:paraId="6299947A">
      <w:pPr>
        <w:pStyle w:val="11"/>
        <w:snapToGrid w:val="0"/>
        <w:spacing w:before="120" w:after="120" w:line="360" w:lineRule="auto"/>
        <w:rPr>
          <w:rFonts w:hint="eastAsia" w:hAnsi="宋体" w:cs="宋体"/>
          <w:color w:val="auto"/>
          <w:sz w:val="24"/>
          <w:szCs w:val="24"/>
          <w:highlight w:val="none"/>
        </w:rPr>
      </w:pPr>
      <w:bookmarkStart w:id="271" w:name="OLE_LINK49"/>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加盖公章</w:t>
      </w:r>
      <w:r>
        <w:rPr>
          <w:rFonts w:hint="eastAsia" w:hAnsi="宋体" w:cs="宋体"/>
          <w:color w:val="auto"/>
          <w:sz w:val="24"/>
          <w:szCs w:val="24"/>
          <w:highlight w:val="none"/>
        </w:rPr>
        <w:t xml:space="preserve">） </w:t>
      </w:r>
    </w:p>
    <w:p w14:paraId="6B36628B">
      <w:pPr>
        <w:pStyle w:val="11"/>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法定代表人或其授权代理人：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签字</w:t>
      </w:r>
      <w:r>
        <w:rPr>
          <w:rFonts w:hint="eastAsia" w:hAnsi="宋体" w:cs="宋体"/>
          <w:color w:val="auto"/>
          <w:sz w:val="24"/>
          <w:szCs w:val="24"/>
          <w:highlight w:val="none"/>
          <w:lang w:val="en-US" w:eastAsia="zh-CN"/>
        </w:rPr>
        <w:t>或盖章</w:t>
      </w:r>
      <w:r>
        <w:rPr>
          <w:rFonts w:hint="eastAsia" w:hAnsi="宋体" w:cs="宋体"/>
          <w:color w:val="auto"/>
          <w:sz w:val="24"/>
          <w:szCs w:val="24"/>
          <w:highlight w:val="none"/>
        </w:rPr>
        <w:t>）</w:t>
      </w:r>
      <w:bookmarkEnd w:id="271"/>
      <w:r>
        <w:rPr>
          <w:rFonts w:hint="eastAsia" w:hAnsi="宋体" w:cs="宋体"/>
          <w:color w:val="auto"/>
          <w:sz w:val="24"/>
          <w:szCs w:val="24"/>
          <w:highlight w:val="none"/>
        </w:rPr>
        <w:t xml:space="preserve">   </w:t>
      </w:r>
    </w:p>
    <w:p w14:paraId="2CA371BF">
      <w:pPr>
        <w:pStyle w:val="11"/>
        <w:snapToGrid w:val="0"/>
        <w:spacing w:before="295" w:beforeLines="0" w:after="295" w:afterLines="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年   月   日</w:t>
      </w:r>
    </w:p>
    <w:p w14:paraId="2D03E4A6">
      <w:pPr>
        <w:pStyle w:val="12"/>
        <w:numPr>
          <w:ilvl w:val="0"/>
          <w:numId w:val="4"/>
        </w:numPr>
        <w:ind w:leftChars="0"/>
        <w:jc w:val="center"/>
        <w:outlineLvl w:val="2"/>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特定资格要求：</w:t>
      </w:r>
      <w:bookmarkStart w:id="272" w:name="OLE_LINK21"/>
    </w:p>
    <w:p w14:paraId="197D5FA6">
      <w:pPr>
        <w:pStyle w:val="11"/>
        <w:snapToGrid w:val="0"/>
        <w:spacing w:before="295" w:beforeLines="0" w:after="295" w:afterLines="0" w:line="360" w:lineRule="auto"/>
        <w:ind w:firstLine="482" w:firstLineChars="200"/>
        <w:jc w:val="left"/>
        <w:outlineLvl w:val="9"/>
        <w:rPr>
          <w:rFonts w:hint="eastAsia" w:ascii="宋体" w:hAnsi="宋体" w:eastAsia="宋体" w:cs="宋体"/>
          <w:b/>
          <w:bCs/>
          <w:sz w:val="24"/>
          <w:szCs w:val="24"/>
          <w:lang w:val="en-US" w:eastAsia="zh-CN" w:bidi="ar-SA"/>
        </w:rPr>
      </w:pPr>
      <w:r>
        <w:rPr>
          <w:rFonts w:hint="eastAsia" w:ascii="宋体" w:hAnsi="宋体" w:cs="宋体"/>
          <w:b/>
          <w:bCs/>
          <w:color w:val="auto"/>
          <w:sz w:val="24"/>
          <w:szCs w:val="24"/>
          <w:highlight w:val="none"/>
          <w:lang w:val="en-US" w:eastAsia="zh-CN"/>
        </w:rPr>
        <w:t>供应商应具有有效的且与所报项目（采购包）相适应的医疗器械生产许可或经营许可，即：供应商为生产企业，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2）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r>
        <w:rPr>
          <w:rFonts w:hint="eastAsia" w:hAnsi="宋体" w:cs="宋体"/>
          <w:b/>
          <w:bCs/>
          <w:color w:val="auto"/>
          <w:sz w:val="24"/>
          <w:szCs w:val="24"/>
          <w:highlight w:val="none"/>
          <w:lang w:val="en-US" w:eastAsia="zh-CN"/>
        </w:rPr>
        <w:t>。</w:t>
      </w:r>
    </w:p>
    <w:bookmarkEnd w:id="272"/>
    <w:p w14:paraId="5D2005A3">
      <w:pPr>
        <w:pStyle w:val="12"/>
        <w:numPr>
          <w:ilvl w:val="0"/>
          <w:numId w:val="0"/>
        </w:numPr>
        <w:ind w:leftChars="0"/>
        <w:rPr>
          <w:rFonts w:hint="eastAsia"/>
          <w:b w:val="0"/>
          <w:bCs w:val="0"/>
          <w:lang w:val="en-US" w:eastAsia="zh-CN"/>
        </w:rPr>
      </w:pPr>
    </w:p>
    <w:bookmarkEnd w:id="268"/>
    <w:p w14:paraId="6CC7394E">
      <w:pPr>
        <w:rPr>
          <w:rFonts w:hint="eastAsia" w:ascii="宋体" w:hAnsi="宋体" w:cs="宋体"/>
          <w:b/>
          <w:color w:val="auto"/>
          <w:sz w:val="30"/>
          <w:szCs w:val="30"/>
          <w:highlight w:val="none"/>
        </w:rPr>
      </w:pPr>
      <w:bookmarkStart w:id="273" w:name="_Toc24461"/>
      <w:bookmarkStart w:id="274" w:name="_Toc32158"/>
      <w:bookmarkStart w:id="275" w:name="_Toc19760"/>
      <w:bookmarkStart w:id="276" w:name="_Toc14326"/>
      <w:r>
        <w:rPr>
          <w:rFonts w:hint="eastAsia" w:ascii="宋体" w:hAnsi="宋体" w:cs="宋体"/>
          <w:b/>
          <w:color w:val="auto"/>
          <w:sz w:val="30"/>
          <w:szCs w:val="30"/>
          <w:highlight w:val="none"/>
        </w:rPr>
        <w:br w:type="page"/>
      </w:r>
    </w:p>
    <w:p w14:paraId="48C95BEA">
      <w:pPr>
        <w:jc w:val="center"/>
        <w:outlineLvl w:val="1"/>
        <w:rPr>
          <w:rFonts w:hint="eastAsia" w:ascii="宋体" w:hAnsi="宋体" w:cs="宋体"/>
          <w:b/>
          <w:color w:val="auto"/>
          <w:sz w:val="30"/>
          <w:szCs w:val="30"/>
          <w:highlight w:val="none"/>
        </w:rPr>
      </w:pPr>
      <w:r>
        <w:rPr>
          <w:rFonts w:hint="eastAsia" w:ascii="宋体" w:hAnsi="宋体" w:cs="宋体"/>
          <w:b/>
          <w:color w:val="auto"/>
          <w:sz w:val="30"/>
          <w:szCs w:val="30"/>
          <w:highlight w:val="none"/>
        </w:rPr>
        <w:t>二、资信及商务文件格式</w:t>
      </w:r>
      <w:bookmarkEnd w:id="273"/>
      <w:bookmarkEnd w:id="274"/>
      <w:bookmarkEnd w:id="275"/>
      <w:bookmarkEnd w:id="276"/>
    </w:p>
    <w:p w14:paraId="07888967">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（1）响应函</w:t>
      </w:r>
    </w:p>
    <w:p w14:paraId="433421BF">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）法定代表人身份证明书或法人授权委托书</w:t>
      </w:r>
    </w:p>
    <w:p w14:paraId="3D3FCC89">
      <w:pPr>
        <w:snapToGrid w:val="0"/>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bookmarkStart w:id="277" w:name="OLE_LINK17"/>
      <w:r>
        <w:rPr>
          <w:rFonts w:hint="eastAsia" w:ascii="宋体" w:hAnsi="宋体" w:cs="宋体"/>
          <w:bCs/>
          <w:color w:val="auto"/>
          <w:sz w:val="24"/>
          <w:highlight w:val="none"/>
          <w:lang w:val="en-US" w:eastAsia="zh-CN"/>
        </w:rPr>
        <w:t>本部分内容编制要求应与采购需求内容相匹配。</w:t>
      </w:r>
    </w:p>
    <w:bookmarkEnd w:id="277"/>
    <w:p w14:paraId="56898BE3">
      <w:pPr>
        <w:snapToGrid w:val="0"/>
        <w:spacing w:line="360" w:lineRule="auto"/>
        <w:rPr>
          <w:rFonts w:hint="eastAsia" w:ascii="宋体" w:hAnsi="宋体" w:cs="宋体"/>
          <w:bCs/>
          <w:color w:val="auto"/>
          <w:sz w:val="24"/>
          <w:highlight w:val="none"/>
        </w:rPr>
      </w:pPr>
    </w:p>
    <w:p w14:paraId="3FE04308">
      <w:pPr>
        <w:snapToGrid w:val="0"/>
        <w:spacing w:line="360" w:lineRule="auto"/>
        <w:rPr>
          <w:rFonts w:hint="eastAsia" w:ascii="宋体" w:hAnsi="宋体" w:cs="宋体"/>
          <w:bCs/>
          <w:color w:val="auto"/>
          <w:sz w:val="24"/>
          <w:highlight w:val="none"/>
        </w:rPr>
      </w:pPr>
    </w:p>
    <w:p w14:paraId="37C32427">
      <w:pPr>
        <w:snapToGrid w:val="0"/>
        <w:spacing w:line="288" w:lineRule="auto"/>
        <w:rPr>
          <w:rFonts w:hint="eastAsia" w:ascii="宋体" w:hAnsi="宋体" w:cs="宋体"/>
          <w:color w:val="auto"/>
          <w:szCs w:val="21"/>
          <w:highlight w:val="none"/>
        </w:rPr>
      </w:pPr>
    </w:p>
    <w:p w14:paraId="220FADCD">
      <w:pPr>
        <w:snapToGrid w:val="0"/>
        <w:spacing w:line="288" w:lineRule="auto"/>
        <w:rPr>
          <w:rFonts w:hint="eastAsia" w:ascii="宋体" w:hAnsi="宋体" w:cs="宋体"/>
          <w:color w:val="auto"/>
          <w:szCs w:val="21"/>
          <w:highlight w:val="none"/>
        </w:rPr>
      </w:pPr>
    </w:p>
    <w:p w14:paraId="67295C5D">
      <w:pPr>
        <w:snapToGrid w:val="0"/>
        <w:spacing w:line="288" w:lineRule="auto"/>
        <w:rPr>
          <w:rFonts w:hint="eastAsia" w:ascii="宋体" w:hAnsi="宋体" w:cs="宋体"/>
          <w:color w:val="auto"/>
          <w:szCs w:val="21"/>
          <w:highlight w:val="none"/>
        </w:rPr>
      </w:pPr>
    </w:p>
    <w:p w14:paraId="7BCF5D81">
      <w:pPr>
        <w:spacing w:line="360" w:lineRule="auto"/>
        <w:rPr>
          <w:rFonts w:hint="eastAsia" w:ascii="宋体" w:hAnsi="宋体" w:cs="宋体"/>
          <w:color w:val="auto"/>
          <w:highlight w:val="none"/>
          <w:u w:val="single"/>
        </w:rPr>
      </w:pPr>
    </w:p>
    <w:p w14:paraId="14F77271">
      <w:pPr>
        <w:snapToGrid w:val="0"/>
        <w:spacing w:line="312" w:lineRule="auto"/>
        <w:rPr>
          <w:rFonts w:hint="eastAsia" w:ascii="宋体" w:hAnsi="宋体" w:cs="宋体"/>
          <w:b/>
          <w:color w:val="auto"/>
          <w:szCs w:val="21"/>
          <w:highlight w:val="none"/>
        </w:rPr>
      </w:pPr>
    </w:p>
    <w:p w14:paraId="009CB06F">
      <w:pPr>
        <w:snapToGrid w:val="0"/>
        <w:spacing w:line="312" w:lineRule="auto"/>
        <w:rPr>
          <w:rFonts w:hint="eastAsia" w:ascii="宋体" w:hAnsi="宋体" w:cs="宋体"/>
          <w:b/>
          <w:color w:val="auto"/>
          <w:szCs w:val="21"/>
          <w:highlight w:val="none"/>
        </w:rPr>
      </w:pPr>
    </w:p>
    <w:p w14:paraId="6E622E5C">
      <w:pPr>
        <w:snapToGrid w:val="0"/>
        <w:spacing w:line="312" w:lineRule="auto"/>
        <w:rPr>
          <w:rFonts w:hint="eastAsia" w:ascii="宋体" w:hAnsi="宋体" w:cs="宋体"/>
          <w:b/>
          <w:color w:val="auto"/>
          <w:szCs w:val="21"/>
          <w:highlight w:val="none"/>
        </w:rPr>
      </w:pPr>
    </w:p>
    <w:p w14:paraId="14CFB357">
      <w:pPr>
        <w:snapToGrid w:val="0"/>
        <w:spacing w:line="312" w:lineRule="auto"/>
        <w:rPr>
          <w:rFonts w:hint="eastAsia" w:ascii="宋体" w:hAnsi="宋体" w:cs="宋体"/>
          <w:b/>
          <w:color w:val="auto"/>
          <w:szCs w:val="21"/>
          <w:highlight w:val="none"/>
        </w:rPr>
      </w:pPr>
    </w:p>
    <w:p w14:paraId="1F561E5C">
      <w:pPr>
        <w:snapToGrid w:val="0"/>
        <w:spacing w:line="312" w:lineRule="auto"/>
        <w:rPr>
          <w:rFonts w:hint="eastAsia" w:ascii="宋体" w:hAnsi="宋体" w:cs="宋体"/>
          <w:b/>
          <w:color w:val="auto"/>
          <w:szCs w:val="21"/>
          <w:highlight w:val="none"/>
        </w:rPr>
      </w:pPr>
    </w:p>
    <w:p w14:paraId="0789BC7C">
      <w:pPr>
        <w:snapToGrid w:val="0"/>
        <w:spacing w:line="312" w:lineRule="auto"/>
        <w:rPr>
          <w:rFonts w:hint="eastAsia" w:ascii="宋体" w:hAnsi="宋体" w:cs="宋体"/>
          <w:b/>
          <w:color w:val="auto"/>
          <w:szCs w:val="21"/>
          <w:highlight w:val="none"/>
        </w:rPr>
      </w:pPr>
    </w:p>
    <w:p w14:paraId="6E788CEF">
      <w:pPr>
        <w:snapToGrid w:val="0"/>
        <w:spacing w:line="312" w:lineRule="auto"/>
        <w:rPr>
          <w:rFonts w:hint="eastAsia" w:ascii="宋体" w:hAnsi="宋体" w:cs="宋体"/>
          <w:b/>
          <w:color w:val="auto"/>
          <w:szCs w:val="21"/>
          <w:highlight w:val="none"/>
        </w:rPr>
      </w:pPr>
    </w:p>
    <w:p w14:paraId="1FE49189">
      <w:pPr>
        <w:snapToGrid w:val="0"/>
        <w:spacing w:line="312" w:lineRule="auto"/>
        <w:rPr>
          <w:rFonts w:hint="eastAsia" w:ascii="宋体" w:hAnsi="宋体" w:cs="宋体"/>
          <w:b/>
          <w:color w:val="auto"/>
          <w:szCs w:val="21"/>
          <w:highlight w:val="none"/>
        </w:rPr>
      </w:pPr>
    </w:p>
    <w:p w14:paraId="4B90EC09">
      <w:pPr>
        <w:snapToGrid w:val="0"/>
        <w:spacing w:line="312" w:lineRule="auto"/>
        <w:rPr>
          <w:rFonts w:hint="eastAsia" w:ascii="宋体" w:hAnsi="宋体" w:cs="宋体"/>
          <w:b/>
          <w:color w:val="auto"/>
          <w:szCs w:val="21"/>
          <w:highlight w:val="none"/>
        </w:rPr>
      </w:pPr>
    </w:p>
    <w:p w14:paraId="0F2BF531">
      <w:pPr>
        <w:snapToGrid w:val="0"/>
        <w:spacing w:line="312" w:lineRule="auto"/>
        <w:rPr>
          <w:rFonts w:hint="eastAsia" w:ascii="宋体" w:hAnsi="宋体" w:cs="宋体"/>
          <w:b/>
          <w:color w:val="auto"/>
          <w:szCs w:val="21"/>
          <w:highlight w:val="none"/>
        </w:rPr>
      </w:pPr>
    </w:p>
    <w:p w14:paraId="12BD9925">
      <w:pPr>
        <w:snapToGrid w:val="0"/>
        <w:spacing w:line="312" w:lineRule="auto"/>
        <w:rPr>
          <w:rFonts w:hint="eastAsia" w:ascii="宋体" w:hAnsi="宋体" w:cs="宋体"/>
          <w:b/>
          <w:color w:val="auto"/>
          <w:szCs w:val="21"/>
          <w:highlight w:val="none"/>
        </w:rPr>
      </w:pPr>
    </w:p>
    <w:p w14:paraId="0F7997DF">
      <w:pPr>
        <w:snapToGrid w:val="0"/>
        <w:spacing w:line="312" w:lineRule="auto"/>
        <w:rPr>
          <w:rFonts w:hint="eastAsia" w:ascii="宋体" w:hAnsi="宋体" w:cs="宋体"/>
          <w:b/>
          <w:color w:val="auto"/>
          <w:szCs w:val="21"/>
          <w:highlight w:val="none"/>
        </w:rPr>
      </w:pPr>
    </w:p>
    <w:p w14:paraId="39CCAB80">
      <w:pPr>
        <w:snapToGrid w:val="0"/>
        <w:spacing w:line="312" w:lineRule="auto"/>
        <w:rPr>
          <w:rFonts w:hint="eastAsia" w:ascii="宋体" w:hAnsi="宋体" w:cs="宋体"/>
          <w:b/>
          <w:color w:val="auto"/>
          <w:szCs w:val="21"/>
          <w:highlight w:val="none"/>
        </w:rPr>
      </w:pPr>
    </w:p>
    <w:p w14:paraId="3775F843">
      <w:pPr>
        <w:snapToGrid w:val="0"/>
        <w:spacing w:line="312" w:lineRule="auto"/>
        <w:rPr>
          <w:rFonts w:hint="eastAsia" w:ascii="宋体" w:hAnsi="宋体" w:cs="宋体"/>
          <w:b/>
          <w:color w:val="auto"/>
          <w:szCs w:val="21"/>
          <w:highlight w:val="none"/>
        </w:rPr>
      </w:pPr>
    </w:p>
    <w:p w14:paraId="5A1DE8B1">
      <w:pPr>
        <w:snapToGrid w:val="0"/>
        <w:spacing w:line="312" w:lineRule="auto"/>
        <w:rPr>
          <w:rFonts w:hint="eastAsia" w:ascii="宋体" w:hAnsi="宋体" w:cs="宋体"/>
          <w:b/>
          <w:color w:val="auto"/>
          <w:szCs w:val="21"/>
          <w:highlight w:val="none"/>
        </w:rPr>
      </w:pPr>
    </w:p>
    <w:p w14:paraId="36A3DAC6">
      <w:pPr>
        <w:snapToGrid w:val="0"/>
        <w:spacing w:line="312" w:lineRule="auto"/>
        <w:rPr>
          <w:rFonts w:hint="eastAsia" w:ascii="宋体" w:hAnsi="宋体" w:cs="宋体"/>
          <w:b/>
          <w:color w:val="auto"/>
          <w:szCs w:val="21"/>
          <w:highlight w:val="none"/>
        </w:rPr>
      </w:pPr>
    </w:p>
    <w:p w14:paraId="1F44070D">
      <w:pPr>
        <w:snapToGrid w:val="0"/>
        <w:spacing w:line="312" w:lineRule="auto"/>
        <w:rPr>
          <w:rFonts w:hint="eastAsia" w:ascii="宋体" w:hAnsi="宋体" w:cs="宋体"/>
          <w:b/>
          <w:color w:val="auto"/>
          <w:szCs w:val="21"/>
          <w:highlight w:val="none"/>
        </w:rPr>
      </w:pPr>
    </w:p>
    <w:p w14:paraId="20A18E92">
      <w:pPr>
        <w:snapToGrid w:val="0"/>
        <w:spacing w:line="312" w:lineRule="auto"/>
        <w:rPr>
          <w:rFonts w:hint="eastAsia" w:ascii="宋体" w:hAnsi="宋体" w:cs="宋体"/>
          <w:b/>
          <w:color w:val="auto"/>
          <w:szCs w:val="21"/>
          <w:highlight w:val="none"/>
        </w:rPr>
      </w:pPr>
    </w:p>
    <w:p w14:paraId="42BA25AE">
      <w:pPr>
        <w:snapToGrid w:val="0"/>
        <w:spacing w:line="312" w:lineRule="auto"/>
        <w:rPr>
          <w:rFonts w:hint="eastAsia" w:ascii="宋体" w:hAnsi="宋体" w:cs="宋体"/>
          <w:b/>
          <w:color w:val="auto"/>
          <w:szCs w:val="21"/>
          <w:highlight w:val="none"/>
        </w:rPr>
      </w:pPr>
    </w:p>
    <w:p w14:paraId="78FC2776">
      <w:pPr>
        <w:snapToGrid w:val="0"/>
        <w:spacing w:line="312" w:lineRule="auto"/>
        <w:rPr>
          <w:rFonts w:hint="eastAsia" w:ascii="宋体" w:hAnsi="宋体" w:cs="宋体"/>
          <w:b/>
          <w:color w:val="auto"/>
          <w:szCs w:val="21"/>
          <w:highlight w:val="none"/>
        </w:rPr>
      </w:pPr>
    </w:p>
    <w:p w14:paraId="491B03E5">
      <w:pPr>
        <w:jc w:val="center"/>
        <w:rPr>
          <w:rFonts w:hint="eastAsia" w:ascii="宋体" w:hAnsi="宋体" w:cs="宋体"/>
          <w:b/>
          <w:color w:val="auto"/>
          <w:sz w:val="30"/>
          <w:szCs w:val="30"/>
          <w:highlight w:val="none"/>
        </w:rPr>
      </w:pPr>
    </w:p>
    <w:p w14:paraId="734DDDC0">
      <w:pPr>
        <w:jc w:val="center"/>
        <w:rPr>
          <w:rFonts w:hint="eastAsia" w:ascii="宋体" w:hAnsi="宋体" w:cs="宋体"/>
          <w:b/>
          <w:color w:val="auto"/>
          <w:sz w:val="30"/>
          <w:szCs w:val="30"/>
          <w:highlight w:val="none"/>
        </w:rPr>
      </w:pPr>
    </w:p>
    <w:p w14:paraId="18C18F12">
      <w:pPr>
        <w:jc w:val="both"/>
        <w:rPr>
          <w:rFonts w:hint="eastAsia" w:ascii="宋体" w:hAnsi="宋体" w:cs="宋体"/>
          <w:b/>
          <w:color w:val="auto"/>
          <w:sz w:val="30"/>
          <w:szCs w:val="30"/>
          <w:highlight w:val="none"/>
        </w:rPr>
      </w:pPr>
    </w:p>
    <w:p w14:paraId="5A7A4EEA">
      <w:pPr>
        <w:spacing w:after="312" w:afterLines="100" w:line="400" w:lineRule="exact"/>
        <w:jc w:val="center"/>
        <w:rPr>
          <w:rFonts w:hint="eastAsia" w:ascii="宋体" w:hAnsi="宋体" w:cs="宋体"/>
          <w:b/>
          <w:color w:val="auto"/>
          <w:sz w:val="28"/>
          <w:szCs w:val="28"/>
          <w:highlight w:val="none"/>
        </w:rPr>
      </w:pPr>
    </w:p>
    <w:p w14:paraId="34EAE46B">
      <w:pPr>
        <w:spacing w:after="312" w:afterLines="100"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1.响应函</w:t>
      </w:r>
    </w:p>
    <w:p w14:paraId="5F98800D">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红河哈尼族彝族自治州第三人民医院</w:t>
      </w:r>
      <w:r>
        <w:rPr>
          <w:rFonts w:hint="eastAsia" w:ascii="宋体" w:hAnsi="宋体" w:cs="宋体"/>
          <w:color w:val="auto"/>
          <w:sz w:val="24"/>
          <w:highlight w:val="none"/>
        </w:rPr>
        <w:t>：</w:t>
      </w:r>
    </w:p>
    <w:p w14:paraId="7CB96C4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1.我方全面研究了“XXXXXX”项目</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（项目编号：XXXX），决定参加贵单位组织的本项目</w:t>
      </w:r>
      <w:r>
        <w:rPr>
          <w:rFonts w:hint="eastAsia" w:ascii="宋体" w:hAnsi="宋体" w:cs="宋体"/>
          <w:color w:val="auto"/>
          <w:sz w:val="24"/>
          <w:highlight w:val="none"/>
          <w:lang w:eastAsia="zh-CN"/>
        </w:rPr>
        <w:t>询比</w:t>
      </w:r>
      <w:r>
        <w:rPr>
          <w:rFonts w:hint="eastAsia" w:ascii="宋体" w:hAnsi="宋体" w:cs="宋体"/>
          <w:color w:val="auto"/>
          <w:sz w:val="24"/>
          <w:highlight w:val="none"/>
        </w:rPr>
        <w:t>采购。</w:t>
      </w:r>
    </w:p>
    <w:p w14:paraId="4AACE82E">
      <w:pPr>
        <w:pStyle w:val="11"/>
        <w:numPr>
          <w:ilvl w:val="0"/>
          <w:numId w:val="5"/>
        </w:numPr>
        <w:spacing w:line="360" w:lineRule="auto"/>
        <w:ind w:firstLine="480" w:firstLineChars="200"/>
        <w:jc w:val="left"/>
        <w:rPr>
          <w:rFonts w:hint="eastAsia" w:hAnsi="宋体"/>
          <w:color w:val="auto"/>
          <w:sz w:val="24"/>
          <w:szCs w:val="24"/>
          <w:highlight w:val="none"/>
          <w:u w:val="none"/>
          <w:lang w:val="en-US" w:eastAsia="zh-CN"/>
        </w:rPr>
      </w:pPr>
      <w:r>
        <w:rPr>
          <w:rFonts w:hint="eastAsia" w:ascii="宋体" w:hAnsi="宋体" w:cs="宋体"/>
          <w:color w:val="auto"/>
          <w:sz w:val="24"/>
          <w:highlight w:val="none"/>
        </w:rPr>
        <w:t>2.我方自愿按照</w:t>
      </w:r>
      <w:r>
        <w:rPr>
          <w:rFonts w:hint="eastAsia" w:hAnsi="宋体" w:cs="宋体"/>
          <w:color w:val="auto"/>
          <w:sz w:val="24"/>
          <w:highlight w:val="none"/>
          <w:lang w:eastAsia="zh-CN"/>
        </w:rPr>
        <w:t>询比文件</w:t>
      </w:r>
      <w:r>
        <w:rPr>
          <w:rFonts w:hint="eastAsia" w:ascii="宋体" w:hAnsi="宋体" w:cs="宋体"/>
          <w:color w:val="auto"/>
          <w:sz w:val="24"/>
          <w:highlight w:val="none"/>
        </w:rPr>
        <w:t>规定的各项要求向采购人提供所需货物/服务，</w:t>
      </w:r>
      <w:r>
        <w:rPr>
          <w:rFonts w:hint="eastAsia" w:hAnsi="宋体"/>
          <w:color w:val="auto"/>
          <w:sz w:val="24"/>
          <w:szCs w:val="24"/>
          <w:highlight w:val="none"/>
        </w:rPr>
        <w:t>报价</w:t>
      </w:r>
      <w:r>
        <w:rPr>
          <w:rFonts w:hint="eastAsia" w:hAnsi="宋体"/>
          <w:color w:val="auto"/>
          <w:sz w:val="24"/>
          <w:szCs w:val="24"/>
          <w:highlight w:val="none"/>
          <w:lang w:eastAsia="zh-CN"/>
        </w:rPr>
        <w:t>（总价：元）</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none"/>
          <w:lang w:val="en-US" w:eastAsia="zh-CN"/>
        </w:rPr>
        <w:t>。</w:t>
      </w:r>
    </w:p>
    <w:p w14:paraId="71D138F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w:t>
      </w:r>
      <w:r>
        <w:rPr>
          <w:rFonts w:hint="eastAsia" w:ascii="宋体" w:hAnsi="宋体" w:cs="宋体"/>
          <w:color w:val="auto"/>
          <w:sz w:val="24"/>
          <w:highlight w:val="none"/>
          <w:lang w:eastAsia="zh-CN"/>
        </w:rPr>
        <w:t>院方采购</w:t>
      </w:r>
      <w:r>
        <w:rPr>
          <w:rFonts w:hint="eastAsia" w:ascii="宋体" w:hAnsi="宋体" w:cs="宋体"/>
          <w:color w:val="auto"/>
          <w:sz w:val="24"/>
          <w:highlight w:val="none"/>
        </w:rPr>
        <w:t>合同规定的责任和义务。</w:t>
      </w:r>
    </w:p>
    <w:p w14:paraId="59AE438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4.我方为本项目提交的响应文件正本1份，电子文档1份。</w:t>
      </w:r>
    </w:p>
    <w:p w14:paraId="414ED72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w:t>
      </w:r>
      <w:r>
        <w:rPr>
          <w:rFonts w:hint="eastAsia" w:ascii="宋体" w:hAnsi="宋体" w:cs="宋体"/>
          <w:color w:val="auto"/>
          <w:sz w:val="24"/>
          <w:highlight w:val="none"/>
          <w:lang w:eastAsia="zh-CN"/>
        </w:rPr>
        <w:t>询比</w:t>
      </w:r>
      <w:r>
        <w:rPr>
          <w:rFonts w:hint="eastAsia" w:ascii="宋体" w:hAnsi="宋体" w:cs="宋体"/>
          <w:color w:val="auto"/>
          <w:sz w:val="24"/>
          <w:highlight w:val="none"/>
        </w:rPr>
        <w:t>报价有关的文件资料，并保证我方已提供和将要提供的文件资料是真实、准确的。</w:t>
      </w:r>
    </w:p>
    <w:p w14:paraId="099FEFC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，我方递交的响应文件有效期为采购文件规定起算之日起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14:paraId="33E4F4F5">
      <w:pPr>
        <w:adjustRightInd w:val="0"/>
        <w:spacing w:line="400" w:lineRule="exact"/>
        <w:ind w:firstLine="480" w:firstLineChars="200"/>
        <w:jc w:val="left"/>
        <w:rPr>
          <w:rFonts w:hint="eastAsia" w:ascii="宋体" w:hAnsi="宋体" w:cs="宋体"/>
          <w:color w:val="auto"/>
          <w:sz w:val="24"/>
          <w:highlight w:val="none"/>
        </w:rPr>
      </w:pPr>
    </w:p>
    <w:p w14:paraId="745639A3">
      <w:pPr>
        <w:adjustRightInd w:val="0"/>
        <w:spacing w:line="400" w:lineRule="exact"/>
        <w:ind w:firstLine="480" w:firstLineChars="200"/>
        <w:jc w:val="left"/>
        <w:rPr>
          <w:rFonts w:hint="eastAsia" w:ascii="宋体" w:hAnsi="宋体" w:cs="宋体"/>
          <w:color w:val="auto"/>
          <w:sz w:val="24"/>
          <w:highlight w:val="none"/>
        </w:rPr>
      </w:pPr>
    </w:p>
    <w:p w14:paraId="602FB356">
      <w:pPr>
        <w:adjustRightIn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XXX</w:t>
      </w:r>
      <w:r>
        <w:rPr>
          <w:rFonts w:hint="eastAsia" w:ascii="宋体" w:hAnsi="宋体" w:cs="宋体"/>
          <w:color w:val="auto"/>
          <w:sz w:val="24"/>
          <w:highlight w:val="none"/>
        </w:rPr>
        <w:t>（盖单位公章）</w:t>
      </w:r>
    </w:p>
    <w:p w14:paraId="2FAE57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法定代表人或授权代表（签字）：XXX</w:t>
      </w:r>
    </w:p>
    <w:p w14:paraId="5DFC3B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通讯地址：XXX</w:t>
      </w:r>
    </w:p>
    <w:p w14:paraId="1D420D5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邮政编码：XXX</w:t>
      </w:r>
    </w:p>
    <w:p w14:paraId="4432D8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联系电话：XXX</w:t>
      </w:r>
    </w:p>
    <w:p w14:paraId="18FD22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    真：XXX</w:t>
      </w:r>
    </w:p>
    <w:p w14:paraId="4213BA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期：XXX年XXX月XXX日</w:t>
      </w:r>
    </w:p>
    <w:p w14:paraId="3A650521">
      <w:pPr>
        <w:spacing w:line="400" w:lineRule="exact"/>
        <w:jc w:val="center"/>
        <w:rPr>
          <w:rFonts w:hint="eastAsia" w:ascii="宋体" w:hAnsi="宋体" w:cs="宋体"/>
          <w:b/>
          <w:color w:val="auto"/>
          <w:sz w:val="28"/>
          <w:szCs w:val="28"/>
          <w:highlight w:val="none"/>
        </w:rPr>
      </w:pPr>
    </w:p>
    <w:p w14:paraId="5BA0807B">
      <w:pPr>
        <w:spacing w:line="400" w:lineRule="exact"/>
        <w:jc w:val="center"/>
        <w:rPr>
          <w:rFonts w:hint="eastAsia" w:ascii="宋体" w:hAnsi="宋体" w:cs="宋体"/>
          <w:b/>
          <w:color w:val="auto"/>
          <w:sz w:val="28"/>
          <w:szCs w:val="28"/>
          <w:highlight w:val="none"/>
        </w:rPr>
      </w:pPr>
    </w:p>
    <w:p w14:paraId="2054FA23">
      <w:pPr>
        <w:spacing w:line="400" w:lineRule="exact"/>
        <w:jc w:val="center"/>
        <w:rPr>
          <w:rFonts w:hint="eastAsia" w:ascii="宋体" w:hAnsi="宋体" w:cs="宋体"/>
          <w:b/>
          <w:color w:val="auto"/>
          <w:sz w:val="28"/>
          <w:szCs w:val="28"/>
          <w:highlight w:val="none"/>
        </w:rPr>
      </w:pPr>
    </w:p>
    <w:p w14:paraId="51C1E379">
      <w:pPr>
        <w:spacing w:line="400" w:lineRule="exact"/>
        <w:jc w:val="center"/>
        <w:rPr>
          <w:rFonts w:hint="eastAsia" w:ascii="宋体" w:hAnsi="宋体" w:cs="宋体"/>
          <w:b/>
          <w:color w:val="auto"/>
          <w:sz w:val="28"/>
          <w:szCs w:val="28"/>
          <w:highlight w:val="none"/>
        </w:rPr>
      </w:pPr>
    </w:p>
    <w:p w14:paraId="0CB1E1FA">
      <w:pPr>
        <w:spacing w:line="400" w:lineRule="exact"/>
        <w:jc w:val="center"/>
        <w:rPr>
          <w:rFonts w:hint="eastAsia" w:ascii="宋体" w:hAnsi="宋体" w:cs="宋体"/>
          <w:b/>
          <w:color w:val="auto"/>
          <w:sz w:val="28"/>
          <w:szCs w:val="28"/>
          <w:highlight w:val="none"/>
        </w:rPr>
      </w:pPr>
    </w:p>
    <w:p w14:paraId="0F9B0635">
      <w:pPr>
        <w:spacing w:line="400" w:lineRule="exact"/>
        <w:jc w:val="center"/>
        <w:rPr>
          <w:rFonts w:hint="eastAsia" w:ascii="宋体" w:hAnsi="宋体" w:cs="宋体"/>
          <w:b/>
          <w:color w:val="auto"/>
          <w:sz w:val="28"/>
          <w:szCs w:val="28"/>
          <w:highlight w:val="none"/>
        </w:rPr>
      </w:pPr>
    </w:p>
    <w:p w14:paraId="35889EF2">
      <w:pPr>
        <w:spacing w:line="400" w:lineRule="exact"/>
        <w:jc w:val="center"/>
        <w:rPr>
          <w:rFonts w:hint="eastAsia" w:ascii="宋体" w:hAnsi="宋体" w:cs="宋体"/>
          <w:b/>
          <w:color w:val="auto"/>
          <w:sz w:val="28"/>
          <w:szCs w:val="28"/>
          <w:highlight w:val="none"/>
        </w:rPr>
      </w:pPr>
    </w:p>
    <w:p w14:paraId="4A7BAAF8">
      <w:pPr>
        <w:spacing w:line="400" w:lineRule="exact"/>
        <w:jc w:val="center"/>
        <w:rPr>
          <w:rFonts w:hint="eastAsia" w:ascii="宋体" w:hAnsi="宋体" w:cs="宋体"/>
          <w:b/>
          <w:color w:val="auto"/>
          <w:sz w:val="28"/>
          <w:szCs w:val="28"/>
          <w:highlight w:val="none"/>
        </w:rPr>
      </w:pPr>
    </w:p>
    <w:p w14:paraId="589548ED">
      <w:pPr>
        <w:pStyle w:val="21"/>
        <w:ind w:left="0" w:leftChars="0" w:firstLine="0" w:firstLineChars="0"/>
        <w:rPr>
          <w:rFonts w:hint="eastAsia"/>
        </w:rPr>
      </w:pPr>
      <w:r>
        <w:rPr>
          <w:rFonts w:hint="eastAsia" w:ascii="宋体" w:hAnsi="宋体" w:cs="宋体"/>
          <w:b/>
          <w:color w:val="auto"/>
          <w:sz w:val="28"/>
          <w:szCs w:val="28"/>
          <w:highlight w:val="none"/>
        </w:rPr>
        <w:br w:type="page"/>
      </w:r>
    </w:p>
    <w:p w14:paraId="065380F9">
      <w:pPr>
        <w:rPr>
          <w:rFonts w:hint="eastAsia"/>
        </w:rPr>
      </w:pPr>
    </w:p>
    <w:p w14:paraId="18F5C3F5">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.法定代表人身份证明书或法人授权委托书</w:t>
      </w:r>
    </w:p>
    <w:p w14:paraId="729EDB3C">
      <w:pPr>
        <w:snapToGrid w:val="0"/>
        <w:spacing w:before="50" w:after="156" w:afterLines="5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.1法定代表人身份证明书</w:t>
      </w:r>
    </w:p>
    <w:p w14:paraId="263E5ECF">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0ED9C9">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0B1F65">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注册资金：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7E96296">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6A2C48">
      <w:pPr>
        <w:spacing w:line="360" w:lineRule="auto"/>
        <w:ind w:firstLine="420"/>
        <w:rPr>
          <w:rFonts w:hint="eastAsia" w:ascii="宋体" w:hAnsi="宋体" w:cs="宋体"/>
          <w:color w:val="auto"/>
          <w:sz w:val="24"/>
          <w:highlight w:val="none"/>
          <w:u w:val="single"/>
        </w:rPr>
      </w:pPr>
      <w:r>
        <w:rPr>
          <w:rFonts w:hint="eastAsia" w:ascii="宋体" w:hAnsi="宋体" w:cs="宋体"/>
          <w:color w:val="auto"/>
          <w:sz w:val="24"/>
          <w:highlight w:val="none"/>
        </w:rPr>
        <w:t>成立时间：</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5841396">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8E19B33">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E560350">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的法定代表人</w:t>
      </w:r>
    </w:p>
    <w:p w14:paraId="73136DCF">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特此证明</w:t>
      </w:r>
    </w:p>
    <w:p w14:paraId="67F46DFF">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279EABBB">
      <w:pPr>
        <w:snapToGrid w:val="0"/>
        <w:spacing w:before="156" w:beforeLines="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864B4CD">
      <w:pPr>
        <w:spacing w:line="360" w:lineRule="auto"/>
        <w:ind w:firstLine="360" w:firstLineChars="150"/>
        <w:jc w:val="center"/>
        <w:rPr>
          <w:rFonts w:hint="eastAsia" w:ascii="宋体" w:hAnsi="宋体" w:cs="宋体"/>
          <w:color w:val="auto"/>
          <w:sz w:val="24"/>
          <w:highlight w:val="none"/>
        </w:rPr>
      </w:pPr>
    </w:p>
    <w:p w14:paraId="383860E6">
      <w:pPr>
        <w:spacing w:line="360" w:lineRule="auto"/>
        <w:ind w:firstLine="360" w:firstLineChars="150"/>
        <w:jc w:val="center"/>
        <w:rPr>
          <w:rFonts w:hint="eastAsia" w:ascii="宋体" w:hAnsi="宋体" w:cs="宋体"/>
          <w:color w:val="auto"/>
          <w:sz w:val="24"/>
          <w:highlight w:val="none"/>
        </w:rPr>
      </w:pPr>
    </w:p>
    <w:p w14:paraId="5382C491">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14:paraId="54114BB2">
      <w:pPr>
        <w:snapToGrid w:val="0"/>
        <w:spacing w:before="156" w:beforeLines="50" w:line="360" w:lineRule="auto"/>
        <w:ind w:firstLine="480" w:firstLineChars="200"/>
        <w:rPr>
          <w:rFonts w:hint="eastAsia" w:ascii="宋体" w:hAnsi="宋体" w:cs="宋体"/>
          <w:bCs/>
          <w:color w:val="auto"/>
          <w:sz w:val="24"/>
          <w:highlight w:val="none"/>
        </w:rPr>
      </w:pPr>
    </w:p>
    <w:p w14:paraId="12927B7E">
      <w:pPr>
        <w:spacing w:line="360" w:lineRule="auto"/>
        <w:ind w:firstLine="420"/>
        <w:rPr>
          <w:rFonts w:hint="eastAsia" w:ascii="宋体" w:hAnsi="宋体" w:cs="宋体"/>
          <w:color w:val="auto"/>
          <w:sz w:val="24"/>
          <w:highlight w:val="none"/>
        </w:rPr>
      </w:pPr>
    </w:p>
    <w:p w14:paraId="76CF1067">
      <w:pPr>
        <w:spacing w:line="360" w:lineRule="auto"/>
        <w:ind w:firstLine="420"/>
        <w:rPr>
          <w:rFonts w:hint="eastAsia" w:ascii="宋体" w:hAnsi="宋体" w:cs="宋体"/>
          <w:color w:val="auto"/>
          <w:sz w:val="24"/>
          <w:highlight w:val="none"/>
        </w:rPr>
      </w:pPr>
    </w:p>
    <w:p w14:paraId="5F32CEA6">
      <w:pPr>
        <w:spacing w:line="360" w:lineRule="auto"/>
        <w:ind w:firstLine="420"/>
        <w:rPr>
          <w:rFonts w:hint="eastAsia" w:ascii="宋体" w:hAnsi="宋体" w:cs="宋体"/>
          <w:color w:val="auto"/>
          <w:sz w:val="24"/>
          <w:highlight w:val="none"/>
        </w:rPr>
      </w:pPr>
    </w:p>
    <w:p w14:paraId="39A23C2C">
      <w:pPr>
        <w:spacing w:line="360" w:lineRule="auto"/>
        <w:ind w:firstLine="420"/>
        <w:rPr>
          <w:rFonts w:hint="eastAsia" w:ascii="宋体" w:hAnsi="宋体" w:cs="宋体"/>
          <w:color w:val="auto"/>
          <w:sz w:val="24"/>
          <w:highlight w:val="none"/>
        </w:rPr>
      </w:pPr>
    </w:p>
    <w:p w14:paraId="6CCAB03C">
      <w:pPr>
        <w:spacing w:line="360" w:lineRule="auto"/>
        <w:ind w:firstLine="420"/>
        <w:rPr>
          <w:rFonts w:hint="eastAsia" w:ascii="宋体" w:hAnsi="宋体" w:cs="宋体"/>
          <w:color w:val="auto"/>
          <w:sz w:val="24"/>
          <w:highlight w:val="none"/>
        </w:rPr>
      </w:pPr>
    </w:p>
    <w:p w14:paraId="3B225EB0">
      <w:pPr>
        <w:spacing w:line="360" w:lineRule="auto"/>
        <w:ind w:firstLine="420"/>
        <w:rPr>
          <w:rFonts w:hint="eastAsia" w:ascii="宋体" w:hAnsi="宋体" w:cs="宋体"/>
          <w:color w:val="auto"/>
          <w:sz w:val="24"/>
          <w:highlight w:val="none"/>
        </w:rPr>
      </w:pPr>
    </w:p>
    <w:p w14:paraId="049B3DBE">
      <w:pPr>
        <w:spacing w:line="360" w:lineRule="auto"/>
        <w:ind w:firstLine="420"/>
        <w:rPr>
          <w:rFonts w:hint="eastAsia" w:ascii="宋体" w:hAnsi="宋体" w:cs="宋体"/>
          <w:color w:val="auto"/>
          <w:sz w:val="24"/>
          <w:highlight w:val="none"/>
        </w:rPr>
      </w:pPr>
    </w:p>
    <w:p w14:paraId="1B575F9D">
      <w:pPr>
        <w:spacing w:line="360" w:lineRule="auto"/>
        <w:ind w:firstLine="420"/>
        <w:rPr>
          <w:rFonts w:hint="eastAsia" w:ascii="宋体" w:hAnsi="宋体" w:cs="宋体"/>
          <w:color w:val="auto"/>
          <w:sz w:val="24"/>
          <w:highlight w:val="none"/>
        </w:rPr>
      </w:pPr>
    </w:p>
    <w:p w14:paraId="2C1224F3">
      <w:pPr>
        <w:spacing w:line="360" w:lineRule="auto"/>
        <w:ind w:firstLine="420"/>
        <w:rPr>
          <w:rFonts w:hint="eastAsia" w:ascii="宋体" w:hAnsi="宋体" w:cs="宋体"/>
          <w:color w:val="auto"/>
          <w:sz w:val="24"/>
          <w:highlight w:val="none"/>
        </w:rPr>
      </w:pPr>
    </w:p>
    <w:p w14:paraId="2BCF9A94">
      <w:pPr>
        <w:spacing w:line="360" w:lineRule="auto"/>
        <w:ind w:firstLine="420"/>
        <w:rPr>
          <w:rFonts w:hint="eastAsia" w:ascii="宋体" w:hAnsi="宋体" w:cs="宋体"/>
          <w:color w:val="auto"/>
          <w:sz w:val="24"/>
          <w:highlight w:val="none"/>
        </w:rPr>
      </w:pPr>
    </w:p>
    <w:p w14:paraId="27E974A2">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2.2</w:t>
      </w:r>
      <w:r>
        <w:rPr>
          <w:rFonts w:hint="eastAsia" w:ascii="宋体" w:hAnsi="宋体" w:cs="宋体"/>
          <w:b/>
          <w:bCs/>
          <w:color w:val="auto"/>
          <w:sz w:val="32"/>
          <w:szCs w:val="32"/>
          <w:highlight w:val="none"/>
        </w:rPr>
        <w:t>法人授权委托书</w:t>
      </w:r>
    </w:p>
    <w:p w14:paraId="4AF41E07">
      <w:pPr>
        <w:snapToGrid w:val="0"/>
        <w:spacing w:before="156" w:beforeLines="50" w:after="50" w:line="360" w:lineRule="auto"/>
        <w:rPr>
          <w:rFonts w:hint="eastAsia" w:ascii="宋体" w:hAnsi="宋体" w:cs="宋体"/>
          <w:b/>
          <w:bCs/>
          <w:color w:val="auto"/>
          <w:sz w:val="24"/>
          <w:szCs w:val="20"/>
          <w:highlight w:val="none"/>
        </w:rPr>
      </w:pPr>
      <w:r>
        <w:rPr>
          <w:rFonts w:hint="eastAsia" w:ascii="宋体" w:hAnsi="宋体" w:cs="宋体"/>
          <w:bCs/>
          <w:color w:val="auto"/>
          <w:sz w:val="24"/>
          <w:highlight w:val="none"/>
        </w:rPr>
        <w:t>致：</w:t>
      </w:r>
      <w:r>
        <w:rPr>
          <w:rFonts w:hint="eastAsia" w:ascii="宋体" w:hAnsi="宋体" w:cs="宋体"/>
          <w:color w:val="auto"/>
          <w:sz w:val="24"/>
          <w:highlight w:val="none"/>
        </w:rPr>
        <w:t>______（采购</w:t>
      </w:r>
      <w:r>
        <w:rPr>
          <w:rFonts w:hint="eastAsia" w:ascii="宋体" w:hAnsi="宋体" w:cs="宋体"/>
          <w:color w:val="auto"/>
          <w:sz w:val="24"/>
          <w:highlight w:val="none"/>
          <w:lang w:val="en-US" w:eastAsia="zh-CN"/>
        </w:rPr>
        <w:t>人名称</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r>
        <w:rPr>
          <w:rFonts w:hint="eastAsia" w:ascii="宋体" w:hAnsi="宋体" w:cs="宋体"/>
          <w:color w:val="auto"/>
          <w:sz w:val="24"/>
          <w:highlight w:val="none"/>
        </w:rPr>
        <w:t>：</w:t>
      </w:r>
    </w:p>
    <w:p w14:paraId="2FDBB0E2">
      <w:pPr>
        <w:snapToGrid w:val="0"/>
        <w:spacing w:before="156" w:beforeLines="50" w:after="50" w:line="360" w:lineRule="auto"/>
        <w:ind w:firstLine="720" w:firstLineChars="300"/>
        <w:rPr>
          <w:rFonts w:hint="eastAsia" w:ascii="宋体" w:hAnsi="宋体" w:cs="宋体"/>
          <w:color w:val="auto"/>
          <w:sz w:val="24"/>
          <w:szCs w:val="20"/>
          <w:highlight w:val="none"/>
        </w:rPr>
      </w:pPr>
      <w:r>
        <w:rPr>
          <w:rFonts w:hint="eastAsia" w:ascii="宋体" w:hAnsi="宋体" w:cs="宋体"/>
          <w:color w:val="auto"/>
          <w:sz w:val="24"/>
          <w:highlight w:val="none"/>
        </w:rPr>
        <w:t xml:space="preserve">我_____（姓名）系______（供应商名称）的法定代表人，现授权委托本单位在职职工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ABC单位</w:t>
      </w:r>
      <w:r>
        <w:rPr>
          <w:rFonts w:hint="eastAsia" w:ascii="宋体" w:hAnsi="宋体" w:cs="宋体"/>
          <w:color w:val="auto"/>
          <w:sz w:val="24"/>
          <w:highlight w:val="none"/>
          <w:u w:val="single"/>
          <w:lang w:eastAsia="zh-CN"/>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eastAsia="zh-CN"/>
        </w:rPr>
        <w:t>的询比</w:t>
      </w:r>
      <w:r>
        <w:rPr>
          <w:rFonts w:hint="eastAsia" w:ascii="宋体" w:hAnsi="宋体" w:cs="宋体"/>
          <w:color w:val="auto"/>
          <w:sz w:val="24"/>
          <w:highlight w:val="none"/>
        </w:rPr>
        <w:t>活动，并代表我方全权办理针对上述项目的投标、开标、评标、签约等具体事务和签署相关文件。</w:t>
      </w:r>
    </w:p>
    <w:p w14:paraId="6210B4D2">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 xml:space="preserve">    我方对被授权人的签名事项负全部责任。</w:t>
      </w:r>
    </w:p>
    <w:p w14:paraId="45078425">
      <w:pPr>
        <w:snapToGrid w:val="0"/>
        <w:spacing w:before="156" w:beforeLines="50" w:after="50" w:line="360" w:lineRule="auto"/>
        <w:ind w:firstLine="480"/>
        <w:rPr>
          <w:rFonts w:hint="eastAsia" w:ascii="宋体" w:hAnsi="宋体" w:cs="宋体"/>
          <w:color w:val="auto"/>
          <w:sz w:val="24"/>
          <w:szCs w:val="20"/>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14:paraId="1ACBAF26">
      <w:pPr>
        <w:snapToGrid w:val="0"/>
        <w:spacing w:before="156" w:beforeLines="50" w:after="5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2C986724">
      <w:pPr>
        <w:snapToGrid w:val="0"/>
        <w:spacing w:before="156" w:beforeLines="50" w:after="50" w:line="360" w:lineRule="auto"/>
        <w:rPr>
          <w:rFonts w:hint="eastAsia" w:ascii="宋体" w:hAnsi="宋体" w:cs="宋体"/>
          <w:color w:val="auto"/>
          <w:sz w:val="24"/>
          <w:szCs w:val="20"/>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法定代表人（签字或盖章）：</w:t>
      </w:r>
      <w:r>
        <w:rPr>
          <w:rFonts w:hint="eastAsia" w:ascii="宋体" w:hAnsi="宋体" w:cs="宋体"/>
          <w:color w:val="auto"/>
          <w:sz w:val="24"/>
          <w:highlight w:val="none"/>
          <w:u w:val="single"/>
        </w:rPr>
        <w:t xml:space="preserve">          </w:t>
      </w:r>
    </w:p>
    <w:p w14:paraId="04F9B8FE">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51FF6571">
      <w:pPr>
        <w:snapToGrid w:val="0"/>
        <w:spacing w:before="156" w:beforeLines="50" w:after="50"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6DE4827">
      <w:pPr>
        <w:spacing w:after="120"/>
        <w:ind w:left="420" w:leftChars="200" w:firstLine="480"/>
        <w:rPr>
          <w:rFonts w:hint="eastAsia" w:ascii="宋体" w:hAnsi="宋体" w:cs="宋体"/>
          <w:color w:val="auto"/>
          <w:sz w:val="24"/>
          <w:szCs w:val="21"/>
          <w:highlight w:val="none"/>
        </w:rPr>
      </w:pPr>
    </w:p>
    <w:p w14:paraId="411AF13E">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14:paraId="2EF66552">
      <w:pPr>
        <w:spacing w:after="120"/>
        <w:ind w:left="420" w:leftChars="200" w:firstLine="480"/>
        <w:rPr>
          <w:rFonts w:hint="eastAsia" w:ascii="宋体" w:hAnsi="宋体" w:cs="宋体"/>
          <w:color w:val="auto"/>
          <w:sz w:val="24"/>
          <w:szCs w:val="21"/>
          <w:highlight w:val="none"/>
        </w:rPr>
      </w:pPr>
    </w:p>
    <w:p w14:paraId="5DEBF7B6">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供应商全称（</w:t>
      </w:r>
      <w:bookmarkStart w:id="278" w:name="OLE_LINK48"/>
      <w:r>
        <w:rPr>
          <w:rFonts w:hint="eastAsia" w:ascii="宋体" w:hAnsi="宋体" w:cs="宋体"/>
          <w:color w:val="auto"/>
          <w:sz w:val="24"/>
          <w:highlight w:val="none"/>
        </w:rPr>
        <w:t>盖单位公章</w:t>
      </w:r>
      <w:bookmarkEnd w:id="278"/>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36688079">
      <w:pPr>
        <w:snapToGrid w:val="0"/>
        <w:spacing w:before="156" w:beforeLines="50" w:after="50" w:line="360" w:lineRule="auto"/>
        <w:jc w:val="center"/>
        <w:rPr>
          <w:rFonts w:hint="eastAsia" w:ascii="宋体" w:hAnsi="宋体"/>
          <w:b/>
          <w:color w:val="auto"/>
          <w:sz w:val="28"/>
          <w:szCs w:val="28"/>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sz w:val="24"/>
          <w:highlight w:val="none"/>
        </w:rPr>
        <w:t xml:space="preserve">                                        年    月    </w:t>
      </w:r>
    </w:p>
    <w:p w14:paraId="7CD75D33">
      <w:pPr>
        <w:spacing w:before="36" w:line="286" w:lineRule="auto"/>
        <w:ind w:right="862" w:firstLine="481"/>
        <w:jc w:val="center"/>
        <w:rPr>
          <w:rFonts w:hint="default" w:ascii="宋体" w:hAnsi="宋体" w:cs="宋体"/>
          <w:b/>
          <w:color w:val="auto"/>
          <w:sz w:val="30"/>
          <w:szCs w:val="30"/>
          <w:highlight w:val="none"/>
          <w:lang w:val="en-US" w:eastAsia="zh-CN"/>
        </w:rPr>
      </w:pPr>
      <w:r>
        <w:rPr>
          <w:rFonts w:hint="eastAsia" w:ascii="宋体" w:hAnsi="宋体" w:cs="宋体"/>
          <w:b/>
          <w:bCs/>
          <w:color w:val="auto"/>
          <w:sz w:val="32"/>
          <w:szCs w:val="32"/>
          <w:highlight w:val="none"/>
          <w:lang w:val="en-US" w:eastAsia="zh-CN"/>
        </w:rPr>
        <w:t>3.</w:t>
      </w:r>
      <w:bookmarkStart w:id="279" w:name="OLE_LINK6"/>
      <w:r>
        <w:rPr>
          <w:rFonts w:hint="eastAsia" w:ascii="宋体" w:hAnsi="宋体" w:cs="宋体"/>
          <w:b/>
          <w:bCs/>
          <w:color w:val="auto"/>
          <w:sz w:val="32"/>
          <w:szCs w:val="32"/>
          <w:highlight w:val="none"/>
          <w:lang w:val="en-US" w:eastAsia="zh-CN"/>
        </w:rPr>
        <w:t>本部分内容编制要求应与采购需求内容相匹配。</w:t>
      </w:r>
      <w:bookmarkEnd w:id="279"/>
      <w:bookmarkStart w:id="280" w:name="_Toc4509"/>
      <w:bookmarkStart w:id="281" w:name="_Toc22029"/>
      <w:bookmarkStart w:id="282" w:name="_Toc5634"/>
    </w:p>
    <w:p w14:paraId="3AE3C06B">
      <w:pPr>
        <w:pStyle w:val="39"/>
        <w:spacing w:line="360" w:lineRule="auto"/>
        <w:jc w:val="center"/>
        <w:rPr>
          <w:rFonts w:hint="eastAsia" w:ascii="宋体" w:hAnsi="宋体"/>
          <w:b/>
          <w:bCs/>
          <w:sz w:val="28"/>
          <w:szCs w:val="28"/>
        </w:rPr>
      </w:pPr>
      <w:r>
        <w:rPr>
          <w:rFonts w:hint="eastAsia" w:ascii="宋体" w:hAnsi="宋体"/>
          <w:b/>
          <w:bCs/>
          <w:sz w:val="28"/>
          <w:szCs w:val="28"/>
          <w:lang w:val="en-US" w:eastAsia="zh-CN"/>
        </w:rPr>
        <w:t>（1）、</w:t>
      </w:r>
      <w:r>
        <w:rPr>
          <w:rFonts w:hint="eastAsia" w:ascii="宋体" w:hAnsi="宋体"/>
          <w:b/>
          <w:bCs/>
          <w:sz w:val="28"/>
          <w:szCs w:val="28"/>
          <w:lang w:eastAsia="zh-CN"/>
        </w:rPr>
        <w:t>技术参数</w:t>
      </w:r>
      <w:r>
        <w:rPr>
          <w:rFonts w:hint="eastAsia" w:ascii="宋体" w:hAnsi="宋体"/>
          <w:b/>
          <w:bCs/>
          <w:sz w:val="28"/>
          <w:szCs w:val="28"/>
        </w:rPr>
        <w:t>偏离表</w:t>
      </w:r>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34"/>
        <w:gridCol w:w="2569"/>
        <w:gridCol w:w="1843"/>
        <w:gridCol w:w="2525"/>
      </w:tblGrid>
      <w:tr w14:paraId="71A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2" w:type="dxa"/>
            <w:noWrap w:val="0"/>
            <w:vAlign w:val="center"/>
          </w:tcPr>
          <w:p w14:paraId="720CB0E6">
            <w:pPr>
              <w:pStyle w:val="11"/>
              <w:jc w:val="center"/>
              <w:rPr>
                <w:rFonts w:hint="eastAsia" w:hAnsi="宋体"/>
                <w:bCs/>
                <w:sz w:val="18"/>
                <w:szCs w:val="18"/>
              </w:rPr>
            </w:pPr>
            <w:r>
              <w:rPr>
                <w:rFonts w:hint="eastAsia" w:hAnsi="宋体"/>
                <w:bCs/>
                <w:sz w:val="18"/>
                <w:szCs w:val="18"/>
              </w:rPr>
              <w:t>序号</w:t>
            </w:r>
          </w:p>
        </w:tc>
        <w:tc>
          <w:tcPr>
            <w:tcW w:w="1734" w:type="dxa"/>
            <w:noWrap w:val="0"/>
            <w:vAlign w:val="center"/>
          </w:tcPr>
          <w:p w14:paraId="4DFA695F">
            <w:pPr>
              <w:pStyle w:val="11"/>
              <w:jc w:val="center"/>
              <w:rPr>
                <w:rFonts w:hint="eastAsia" w:hAnsi="宋体" w:eastAsia="宋体"/>
                <w:bCs/>
                <w:sz w:val="18"/>
                <w:szCs w:val="18"/>
                <w:lang w:eastAsia="zh-CN"/>
              </w:rPr>
            </w:pPr>
            <w:r>
              <w:rPr>
                <w:rFonts w:hint="eastAsia" w:hAnsi="宋体"/>
                <w:bCs/>
                <w:sz w:val="18"/>
                <w:szCs w:val="18"/>
                <w:lang w:eastAsia="zh-CN"/>
              </w:rPr>
              <w:t>采购产品名称</w:t>
            </w:r>
          </w:p>
        </w:tc>
        <w:tc>
          <w:tcPr>
            <w:tcW w:w="2569" w:type="dxa"/>
            <w:noWrap w:val="0"/>
            <w:vAlign w:val="center"/>
          </w:tcPr>
          <w:p w14:paraId="7353F8E1">
            <w:pPr>
              <w:pStyle w:val="11"/>
              <w:jc w:val="center"/>
              <w:rPr>
                <w:rFonts w:hint="eastAsia" w:hAnsi="宋体"/>
                <w:bCs/>
                <w:sz w:val="18"/>
                <w:szCs w:val="18"/>
              </w:rPr>
            </w:pPr>
            <w:r>
              <w:rPr>
                <w:rFonts w:hint="eastAsia" w:hAnsi="宋体"/>
                <w:bCs/>
                <w:sz w:val="18"/>
                <w:szCs w:val="18"/>
                <w:lang w:eastAsia="zh-CN"/>
              </w:rPr>
              <w:t>询比</w:t>
            </w:r>
            <w:r>
              <w:rPr>
                <w:rFonts w:hint="eastAsia" w:hAnsi="宋体"/>
                <w:bCs/>
                <w:sz w:val="18"/>
                <w:szCs w:val="18"/>
              </w:rPr>
              <w:t>文件的</w:t>
            </w:r>
            <w:r>
              <w:rPr>
                <w:rFonts w:hint="eastAsia" w:hAnsi="宋体"/>
                <w:bCs/>
                <w:sz w:val="18"/>
                <w:szCs w:val="18"/>
                <w:lang w:eastAsia="zh-CN"/>
              </w:rPr>
              <w:t>技术</w:t>
            </w:r>
            <w:r>
              <w:rPr>
                <w:rFonts w:hint="eastAsia" w:hAnsi="宋体"/>
                <w:bCs/>
                <w:sz w:val="18"/>
                <w:szCs w:val="18"/>
              </w:rPr>
              <w:t>条款</w:t>
            </w:r>
          </w:p>
        </w:tc>
        <w:tc>
          <w:tcPr>
            <w:tcW w:w="1843" w:type="dxa"/>
            <w:noWrap w:val="0"/>
            <w:vAlign w:val="center"/>
          </w:tcPr>
          <w:p w14:paraId="30D15794">
            <w:pPr>
              <w:pStyle w:val="11"/>
              <w:jc w:val="center"/>
              <w:rPr>
                <w:rFonts w:hint="eastAsia" w:hAnsi="宋体"/>
                <w:bCs/>
                <w:sz w:val="18"/>
                <w:szCs w:val="18"/>
              </w:rPr>
            </w:pPr>
            <w:r>
              <w:rPr>
                <w:rFonts w:hint="eastAsia" w:hAnsi="宋体"/>
                <w:bCs/>
                <w:sz w:val="18"/>
                <w:szCs w:val="18"/>
                <w:lang w:eastAsia="zh-CN"/>
              </w:rPr>
              <w:t>响应</w:t>
            </w:r>
            <w:r>
              <w:rPr>
                <w:rFonts w:hint="eastAsia" w:hAnsi="宋体"/>
                <w:bCs/>
                <w:sz w:val="18"/>
                <w:szCs w:val="18"/>
              </w:rPr>
              <w:t>文件的</w:t>
            </w:r>
            <w:r>
              <w:rPr>
                <w:rFonts w:hint="eastAsia" w:hAnsi="宋体"/>
                <w:bCs/>
                <w:sz w:val="18"/>
                <w:szCs w:val="18"/>
                <w:lang w:eastAsia="zh-CN"/>
              </w:rPr>
              <w:t>技术</w:t>
            </w:r>
            <w:r>
              <w:rPr>
                <w:rFonts w:hint="eastAsia" w:hAnsi="宋体"/>
                <w:bCs/>
                <w:sz w:val="18"/>
                <w:szCs w:val="18"/>
              </w:rPr>
              <w:t>条款</w:t>
            </w:r>
          </w:p>
        </w:tc>
        <w:tc>
          <w:tcPr>
            <w:tcW w:w="2525" w:type="dxa"/>
            <w:noWrap w:val="0"/>
            <w:vAlign w:val="center"/>
          </w:tcPr>
          <w:p w14:paraId="5AAC6A4D">
            <w:pPr>
              <w:pStyle w:val="11"/>
              <w:jc w:val="center"/>
              <w:rPr>
                <w:rFonts w:hint="eastAsia" w:hAnsi="宋体"/>
                <w:bCs/>
                <w:sz w:val="18"/>
                <w:szCs w:val="18"/>
              </w:rPr>
            </w:pPr>
            <w:r>
              <w:rPr>
                <w:rFonts w:hint="eastAsia" w:hAnsi="宋体"/>
                <w:bCs/>
                <w:sz w:val="18"/>
                <w:szCs w:val="18"/>
              </w:rPr>
              <w:t>响应情况说明</w:t>
            </w:r>
          </w:p>
        </w:tc>
      </w:tr>
      <w:tr w14:paraId="777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2" w:type="dxa"/>
            <w:noWrap w:val="0"/>
            <w:vAlign w:val="center"/>
          </w:tcPr>
          <w:p w14:paraId="5D3E1A1F">
            <w:pPr>
              <w:pStyle w:val="11"/>
              <w:jc w:val="center"/>
              <w:rPr>
                <w:rFonts w:hint="eastAsia" w:hAnsi="宋体"/>
                <w:bCs/>
                <w:sz w:val="18"/>
                <w:szCs w:val="18"/>
              </w:rPr>
            </w:pPr>
          </w:p>
        </w:tc>
        <w:tc>
          <w:tcPr>
            <w:tcW w:w="1734" w:type="dxa"/>
            <w:noWrap w:val="0"/>
            <w:vAlign w:val="center"/>
          </w:tcPr>
          <w:p w14:paraId="03CAF538">
            <w:pPr>
              <w:pStyle w:val="11"/>
              <w:jc w:val="center"/>
              <w:rPr>
                <w:rFonts w:hint="eastAsia" w:hAnsi="宋体"/>
                <w:bCs/>
                <w:sz w:val="18"/>
                <w:szCs w:val="18"/>
              </w:rPr>
            </w:pPr>
          </w:p>
        </w:tc>
        <w:tc>
          <w:tcPr>
            <w:tcW w:w="2569" w:type="dxa"/>
            <w:noWrap w:val="0"/>
            <w:vAlign w:val="center"/>
          </w:tcPr>
          <w:p w14:paraId="4D22CEFD">
            <w:pPr>
              <w:pStyle w:val="11"/>
              <w:jc w:val="center"/>
              <w:rPr>
                <w:rFonts w:hint="eastAsia" w:hAnsi="宋体"/>
                <w:bCs/>
                <w:sz w:val="18"/>
                <w:szCs w:val="18"/>
              </w:rPr>
            </w:pPr>
          </w:p>
        </w:tc>
        <w:tc>
          <w:tcPr>
            <w:tcW w:w="1843" w:type="dxa"/>
            <w:noWrap w:val="0"/>
            <w:vAlign w:val="center"/>
          </w:tcPr>
          <w:p w14:paraId="6782599A">
            <w:pPr>
              <w:pStyle w:val="11"/>
              <w:jc w:val="center"/>
              <w:rPr>
                <w:rFonts w:hint="eastAsia" w:hAnsi="宋体"/>
                <w:bCs/>
                <w:sz w:val="18"/>
                <w:szCs w:val="18"/>
              </w:rPr>
            </w:pPr>
          </w:p>
        </w:tc>
        <w:tc>
          <w:tcPr>
            <w:tcW w:w="2525" w:type="dxa"/>
            <w:noWrap w:val="0"/>
            <w:vAlign w:val="center"/>
          </w:tcPr>
          <w:p w14:paraId="16160789">
            <w:pPr>
              <w:pStyle w:val="11"/>
              <w:jc w:val="center"/>
              <w:rPr>
                <w:rFonts w:hint="eastAsia" w:hAnsi="宋体"/>
                <w:bCs/>
                <w:sz w:val="18"/>
                <w:szCs w:val="18"/>
              </w:rPr>
            </w:pPr>
          </w:p>
        </w:tc>
      </w:tr>
      <w:tr w14:paraId="60F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2" w:type="dxa"/>
            <w:noWrap w:val="0"/>
            <w:vAlign w:val="center"/>
          </w:tcPr>
          <w:p w14:paraId="0C488B49">
            <w:pPr>
              <w:pStyle w:val="11"/>
              <w:jc w:val="center"/>
              <w:rPr>
                <w:rFonts w:hint="eastAsia" w:hAnsi="宋体"/>
                <w:bCs/>
                <w:sz w:val="18"/>
                <w:szCs w:val="18"/>
              </w:rPr>
            </w:pPr>
          </w:p>
        </w:tc>
        <w:tc>
          <w:tcPr>
            <w:tcW w:w="1734" w:type="dxa"/>
            <w:noWrap w:val="0"/>
            <w:vAlign w:val="center"/>
          </w:tcPr>
          <w:p w14:paraId="7649BF03">
            <w:pPr>
              <w:pStyle w:val="11"/>
              <w:jc w:val="center"/>
              <w:rPr>
                <w:rFonts w:hint="eastAsia" w:hAnsi="宋体"/>
                <w:bCs/>
                <w:sz w:val="18"/>
                <w:szCs w:val="18"/>
              </w:rPr>
            </w:pPr>
          </w:p>
        </w:tc>
        <w:tc>
          <w:tcPr>
            <w:tcW w:w="2569" w:type="dxa"/>
            <w:noWrap w:val="0"/>
            <w:vAlign w:val="center"/>
          </w:tcPr>
          <w:p w14:paraId="5440B00D">
            <w:pPr>
              <w:pStyle w:val="11"/>
              <w:jc w:val="center"/>
              <w:rPr>
                <w:rFonts w:hint="eastAsia" w:hAnsi="宋体"/>
                <w:bCs/>
                <w:sz w:val="18"/>
                <w:szCs w:val="18"/>
              </w:rPr>
            </w:pPr>
          </w:p>
        </w:tc>
        <w:tc>
          <w:tcPr>
            <w:tcW w:w="1843" w:type="dxa"/>
            <w:noWrap w:val="0"/>
            <w:vAlign w:val="center"/>
          </w:tcPr>
          <w:p w14:paraId="094E45E0">
            <w:pPr>
              <w:pStyle w:val="11"/>
              <w:jc w:val="center"/>
              <w:rPr>
                <w:rFonts w:hint="eastAsia" w:hAnsi="宋体"/>
                <w:bCs/>
                <w:sz w:val="18"/>
                <w:szCs w:val="18"/>
              </w:rPr>
            </w:pPr>
          </w:p>
        </w:tc>
        <w:tc>
          <w:tcPr>
            <w:tcW w:w="2525" w:type="dxa"/>
            <w:noWrap w:val="0"/>
            <w:vAlign w:val="center"/>
          </w:tcPr>
          <w:p w14:paraId="52FD910D">
            <w:pPr>
              <w:pStyle w:val="11"/>
              <w:jc w:val="center"/>
              <w:rPr>
                <w:rFonts w:hint="eastAsia" w:hAnsi="宋体"/>
                <w:bCs/>
                <w:sz w:val="18"/>
                <w:szCs w:val="18"/>
              </w:rPr>
            </w:pPr>
          </w:p>
        </w:tc>
      </w:tr>
      <w:tr w14:paraId="2E46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2" w:type="dxa"/>
            <w:noWrap w:val="0"/>
            <w:vAlign w:val="center"/>
          </w:tcPr>
          <w:p w14:paraId="2AB04FFD">
            <w:pPr>
              <w:pStyle w:val="11"/>
              <w:jc w:val="center"/>
              <w:rPr>
                <w:rFonts w:hint="eastAsia" w:hAnsi="宋体"/>
                <w:bCs/>
                <w:sz w:val="18"/>
                <w:szCs w:val="18"/>
              </w:rPr>
            </w:pPr>
          </w:p>
        </w:tc>
        <w:tc>
          <w:tcPr>
            <w:tcW w:w="1734" w:type="dxa"/>
            <w:noWrap w:val="0"/>
            <w:vAlign w:val="center"/>
          </w:tcPr>
          <w:p w14:paraId="37819DF9">
            <w:pPr>
              <w:pStyle w:val="11"/>
              <w:jc w:val="center"/>
              <w:rPr>
                <w:rFonts w:hint="eastAsia" w:hAnsi="宋体"/>
                <w:bCs/>
                <w:sz w:val="18"/>
                <w:szCs w:val="18"/>
              </w:rPr>
            </w:pPr>
          </w:p>
        </w:tc>
        <w:tc>
          <w:tcPr>
            <w:tcW w:w="2569" w:type="dxa"/>
            <w:noWrap w:val="0"/>
            <w:vAlign w:val="center"/>
          </w:tcPr>
          <w:p w14:paraId="7FA9E78C">
            <w:pPr>
              <w:pStyle w:val="11"/>
              <w:jc w:val="center"/>
              <w:rPr>
                <w:rFonts w:hint="eastAsia" w:hAnsi="宋体"/>
                <w:bCs/>
                <w:sz w:val="18"/>
                <w:szCs w:val="18"/>
              </w:rPr>
            </w:pPr>
          </w:p>
        </w:tc>
        <w:tc>
          <w:tcPr>
            <w:tcW w:w="1843" w:type="dxa"/>
            <w:noWrap w:val="0"/>
            <w:vAlign w:val="center"/>
          </w:tcPr>
          <w:p w14:paraId="27D447D6">
            <w:pPr>
              <w:pStyle w:val="11"/>
              <w:jc w:val="center"/>
              <w:rPr>
                <w:rFonts w:hint="eastAsia" w:hAnsi="宋体"/>
                <w:bCs/>
                <w:sz w:val="18"/>
                <w:szCs w:val="18"/>
              </w:rPr>
            </w:pPr>
          </w:p>
        </w:tc>
        <w:tc>
          <w:tcPr>
            <w:tcW w:w="2525" w:type="dxa"/>
            <w:noWrap w:val="0"/>
            <w:vAlign w:val="center"/>
          </w:tcPr>
          <w:p w14:paraId="47A4E7E6">
            <w:pPr>
              <w:pStyle w:val="11"/>
              <w:jc w:val="center"/>
              <w:rPr>
                <w:rFonts w:hint="eastAsia" w:hAnsi="宋体"/>
                <w:bCs/>
                <w:sz w:val="18"/>
                <w:szCs w:val="18"/>
              </w:rPr>
            </w:pPr>
          </w:p>
        </w:tc>
      </w:tr>
    </w:tbl>
    <w:p w14:paraId="6DD1363D">
      <w:pPr>
        <w:pStyle w:val="11"/>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加盖公章</w:t>
      </w:r>
      <w:r>
        <w:rPr>
          <w:rFonts w:hint="eastAsia" w:hAnsi="宋体" w:cs="宋体"/>
          <w:color w:val="auto"/>
          <w:sz w:val="24"/>
          <w:szCs w:val="24"/>
          <w:highlight w:val="none"/>
        </w:rPr>
        <w:t xml:space="preserve">） </w:t>
      </w:r>
    </w:p>
    <w:p w14:paraId="5C3E5E56">
      <w:pPr>
        <w:pStyle w:val="11"/>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法定代表人或其授权代理人：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签字</w:t>
      </w:r>
      <w:r>
        <w:rPr>
          <w:rFonts w:hint="eastAsia" w:hAnsi="宋体" w:cs="宋体"/>
          <w:color w:val="auto"/>
          <w:sz w:val="24"/>
          <w:szCs w:val="24"/>
          <w:highlight w:val="none"/>
          <w:lang w:val="en-US" w:eastAsia="zh-CN"/>
        </w:rPr>
        <w:t>或盖章</w:t>
      </w:r>
      <w:r>
        <w:rPr>
          <w:rFonts w:hint="eastAsia" w:hAnsi="宋体" w:cs="宋体"/>
          <w:color w:val="auto"/>
          <w:sz w:val="24"/>
          <w:szCs w:val="24"/>
          <w:highlight w:val="none"/>
        </w:rPr>
        <w:t>）</w:t>
      </w:r>
    </w:p>
    <w:p w14:paraId="1D8311ED">
      <w:pPr>
        <w:pStyle w:val="11"/>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hAnsi="宋体"/>
          <w:sz w:val="24"/>
          <w:szCs w:val="24"/>
          <w:u w:val="single"/>
        </w:rPr>
      </w:pPr>
      <w:r>
        <w:rPr>
          <w:rFonts w:hint="eastAsia" w:hAnsi="宋体"/>
          <w:sz w:val="24"/>
          <w:szCs w:val="24"/>
        </w:rPr>
        <w:t>日        期：</w:t>
      </w:r>
      <w:r>
        <w:rPr>
          <w:rFonts w:hint="eastAsia" w:hAnsi="宋体"/>
          <w:sz w:val="24"/>
          <w:szCs w:val="24"/>
          <w:u w:val="single"/>
        </w:rPr>
        <w:t xml:space="preserve">           </w:t>
      </w:r>
    </w:p>
    <w:p w14:paraId="30538BAA">
      <w:pPr>
        <w:pStyle w:val="39"/>
        <w:spacing w:line="360" w:lineRule="auto"/>
        <w:jc w:val="center"/>
        <w:rPr>
          <w:rFonts w:hint="eastAsia" w:ascii="宋体" w:hAnsi="宋体"/>
          <w:b/>
          <w:bCs/>
          <w:sz w:val="28"/>
          <w:szCs w:val="28"/>
          <w:lang w:val="en-US" w:eastAsia="zh-CN"/>
        </w:rPr>
      </w:pPr>
      <w:r>
        <w:rPr>
          <w:rFonts w:hint="eastAsia" w:ascii="宋体" w:hAnsi="宋体"/>
          <w:b/>
          <w:bCs/>
          <w:sz w:val="28"/>
          <w:szCs w:val="28"/>
          <w:lang w:val="en-US" w:eastAsia="zh-CN"/>
        </w:rPr>
        <w:t>（2）、商务要求需提供的资料（格式自拟）</w:t>
      </w:r>
    </w:p>
    <w:p w14:paraId="6F4EF85B">
      <w:pPr>
        <w:rPr>
          <w:rFonts w:hint="eastAsia" w:ascii="宋体" w:hAnsi="宋体" w:cs="宋体"/>
          <w:b/>
          <w:color w:val="auto"/>
          <w:sz w:val="30"/>
          <w:szCs w:val="30"/>
          <w:highlight w:val="none"/>
          <w:lang w:eastAsia="zh-CN"/>
        </w:rPr>
      </w:pPr>
    </w:p>
    <w:p w14:paraId="349441ED">
      <w:pPr>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br w:type="page"/>
      </w:r>
    </w:p>
    <w:p w14:paraId="19A12D7C">
      <w:pPr>
        <w:numPr>
          <w:ilvl w:val="0"/>
          <w:numId w:val="0"/>
        </w:numPr>
        <w:ind w:leftChars="0"/>
        <w:jc w:val="center"/>
        <w:outlineLvl w:val="1"/>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eastAsia="zh-CN"/>
        </w:rPr>
        <w:t>三、</w:t>
      </w:r>
      <w:r>
        <w:rPr>
          <w:rFonts w:hint="eastAsia" w:ascii="宋体" w:hAnsi="宋体" w:cs="宋体"/>
          <w:b/>
          <w:color w:val="auto"/>
          <w:sz w:val="30"/>
          <w:szCs w:val="30"/>
          <w:highlight w:val="none"/>
        </w:rPr>
        <w:t>报价文件格式</w:t>
      </w:r>
      <w:bookmarkEnd w:id="280"/>
      <w:bookmarkEnd w:id="281"/>
      <w:bookmarkEnd w:id="282"/>
    </w:p>
    <w:p w14:paraId="2186DFA6">
      <w:pPr>
        <w:numPr>
          <w:ilvl w:val="0"/>
          <w:numId w:val="0"/>
        </w:numPr>
        <w:ind w:leftChars="0"/>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1、报价一览表</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51"/>
      </w:tblGrid>
      <w:tr w14:paraId="112F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21" w:type="dxa"/>
            <w:noWrap w:val="0"/>
            <w:vAlign w:val="center"/>
          </w:tcPr>
          <w:p w14:paraId="57386039">
            <w:pPr>
              <w:jc w:val="center"/>
              <w:rPr>
                <w:rFonts w:ascii="宋体" w:hAnsi="宋体"/>
                <w:color w:val="auto"/>
                <w:highlight w:val="none"/>
              </w:rPr>
            </w:pPr>
            <w:bookmarkStart w:id="283" w:name="_Hlk36387717"/>
            <w:r>
              <w:rPr>
                <w:rFonts w:hint="eastAsia" w:ascii="宋体" w:hAnsi="宋体" w:eastAsia="宋体" w:cs="Times New Roman"/>
                <w:b/>
                <w:color w:val="auto"/>
                <w:kern w:val="2"/>
                <w:sz w:val="24"/>
                <w:szCs w:val="24"/>
                <w:highlight w:val="none"/>
                <w:lang w:val="en-US" w:eastAsia="zh-CN" w:bidi="ar-SA"/>
              </w:rPr>
              <w:t>供应商名称</w:t>
            </w:r>
          </w:p>
        </w:tc>
        <w:tc>
          <w:tcPr>
            <w:tcW w:w="6051" w:type="dxa"/>
            <w:noWrap w:val="0"/>
            <w:vAlign w:val="center"/>
          </w:tcPr>
          <w:p w14:paraId="3976B724">
            <w:pPr>
              <w:jc w:val="center"/>
              <w:rPr>
                <w:rFonts w:ascii="宋体" w:hAnsi="宋体"/>
                <w:color w:val="auto"/>
                <w:highlight w:val="none"/>
              </w:rPr>
            </w:pPr>
          </w:p>
        </w:tc>
      </w:tr>
      <w:tr w14:paraId="64F1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noWrap w:val="0"/>
            <w:vAlign w:val="center"/>
          </w:tcPr>
          <w:p w14:paraId="242B58F9">
            <w:pPr>
              <w:pStyle w:val="11"/>
              <w:jc w:val="center"/>
              <w:rPr>
                <w:rFonts w:ascii="宋体" w:hAnsi="宋体"/>
                <w:color w:val="auto"/>
                <w:highlight w:val="none"/>
              </w:rPr>
            </w:pPr>
            <w:r>
              <w:rPr>
                <w:rFonts w:hint="eastAsia" w:hAnsi="宋体"/>
                <w:b/>
                <w:color w:val="auto"/>
                <w:sz w:val="24"/>
                <w:szCs w:val="24"/>
                <w:highlight w:val="none"/>
                <w:lang w:val="en-US" w:eastAsia="zh-CN"/>
              </w:rPr>
              <w:t>报价（元/把或元/枚）</w:t>
            </w:r>
          </w:p>
        </w:tc>
        <w:tc>
          <w:tcPr>
            <w:tcW w:w="6051" w:type="dxa"/>
            <w:noWrap w:val="0"/>
            <w:vAlign w:val="center"/>
          </w:tcPr>
          <w:p w14:paraId="07F7DBD5">
            <w:pPr>
              <w:ind w:firstLine="2891" w:firstLineChars="1200"/>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 xml:space="preserve"> </w:t>
            </w:r>
          </w:p>
        </w:tc>
      </w:tr>
      <w:tr w14:paraId="73D8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72" w:type="dxa"/>
            <w:gridSpan w:val="2"/>
            <w:noWrap w:val="0"/>
            <w:vAlign w:val="center"/>
          </w:tcPr>
          <w:p w14:paraId="5FE6C950">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 xml:space="preserve">供应商（盖章）： </w:t>
            </w:r>
          </w:p>
        </w:tc>
      </w:tr>
      <w:tr w14:paraId="28DB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14:paraId="45FB6804">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法定代表人或被授权人（签字）：</w:t>
            </w:r>
          </w:p>
        </w:tc>
      </w:tr>
      <w:tr w14:paraId="0E7A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14:paraId="5939E9BF">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日     期：      年      月      日</w:t>
            </w:r>
          </w:p>
        </w:tc>
      </w:tr>
    </w:tbl>
    <w:p w14:paraId="70496895">
      <w:pPr>
        <w:pStyle w:val="11"/>
        <w:spacing w:before="720" w:beforeLines="300" w:line="360" w:lineRule="auto"/>
        <w:jc w:val="left"/>
        <w:rPr>
          <w:rFonts w:hint="eastAsia" w:hAnsi="宋体"/>
          <w:color w:val="auto"/>
          <w:szCs w:val="21"/>
          <w:highlight w:val="none"/>
        </w:rPr>
      </w:pPr>
      <w:r>
        <w:rPr>
          <w:rFonts w:hint="eastAsia" w:hAnsi="宋体"/>
          <w:b/>
          <w:color w:val="auto"/>
          <w:sz w:val="24"/>
          <w:szCs w:val="24"/>
          <w:highlight w:val="none"/>
        </w:rPr>
        <w:t>注：</w:t>
      </w:r>
      <w:bookmarkEnd w:id="283"/>
      <w:r>
        <w:rPr>
          <w:rFonts w:hint="eastAsia" w:ascii="宋体" w:hAnsi="宋体" w:eastAsia="宋体" w:cs="宋体"/>
          <w:kern w:val="2"/>
          <w:sz w:val="24"/>
          <w:szCs w:val="24"/>
          <w:lang w:val="en-US" w:eastAsia="zh-CN" w:bidi="ar-SA"/>
        </w:rPr>
        <w:t>1.表中“投标报价”应与“</w:t>
      </w:r>
      <w:r>
        <w:rPr>
          <w:rFonts w:hint="eastAsia" w:hAnsi="宋体" w:cs="宋体"/>
          <w:kern w:val="2"/>
          <w:sz w:val="24"/>
          <w:szCs w:val="24"/>
          <w:lang w:val="en-US" w:eastAsia="zh-CN" w:bidi="ar-SA"/>
        </w:rPr>
        <w:t>响应</w:t>
      </w:r>
      <w:r>
        <w:rPr>
          <w:rFonts w:hint="eastAsia" w:ascii="宋体" w:hAnsi="宋体" w:eastAsia="宋体" w:cs="宋体"/>
          <w:kern w:val="2"/>
          <w:sz w:val="24"/>
          <w:szCs w:val="24"/>
          <w:lang w:val="en-US" w:eastAsia="zh-CN" w:bidi="ar-SA"/>
        </w:rPr>
        <w:t>函”、“</w:t>
      </w:r>
      <w:r>
        <w:rPr>
          <w:rFonts w:hint="eastAsia" w:hAnsi="宋体" w:cs="宋体"/>
          <w:kern w:val="2"/>
          <w:sz w:val="24"/>
          <w:szCs w:val="24"/>
          <w:lang w:val="en-US" w:eastAsia="zh-CN" w:bidi="ar-SA"/>
        </w:rPr>
        <w:t>报价明细表</w:t>
      </w:r>
      <w:r>
        <w:rPr>
          <w:rFonts w:hint="eastAsia" w:ascii="宋体" w:hAnsi="宋体" w:eastAsia="宋体" w:cs="宋体"/>
          <w:kern w:val="2"/>
          <w:sz w:val="24"/>
          <w:szCs w:val="24"/>
          <w:lang w:val="en-US" w:eastAsia="zh-CN" w:bidi="ar-SA"/>
        </w:rPr>
        <w:t>”中“</w:t>
      </w:r>
      <w:r>
        <w:rPr>
          <w:rFonts w:hint="eastAsia" w:ascii="宋体" w:hAnsi="宋体" w:eastAsia="宋体" w:cs="宋体"/>
          <w:bCs/>
          <w:color w:val="auto"/>
          <w:kern w:val="2"/>
          <w:sz w:val="22"/>
          <w:szCs w:val="24"/>
          <w:highlight w:val="none"/>
          <w:lang w:val="en-US" w:eastAsia="zh-CN" w:bidi="ar-SA"/>
        </w:rPr>
        <w:t>合计报价</w:t>
      </w:r>
      <w:r>
        <w:rPr>
          <w:rFonts w:hint="eastAsia" w:ascii="宋体" w:hAnsi="宋体" w:eastAsia="宋体" w:cs="宋体"/>
          <w:kern w:val="2"/>
          <w:sz w:val="24"/>
          <w:szCs w:val="24"/>
          <w:lang w:val="en-US" w:eastAsia="zh-CN" w:bidi="ar-SA"/>
        </w:rPr>
        <w:t>”一致。</w:t>
      </w:r>
    </w:p>
    <w:p w14:paraId="56E808B6">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投标报价包括但不仅限于货物的出厂价，货物成本、运杂费、技术服务费、利润、税收、验收、售后服务、市场价格变化的风险费用等的总和，该报价应考虑市场风险、政策性风险、汇率风险等因素。</w:t>
      </w:r>
    </w:p>
    <w:p w14:paraId="1457A638">
      <w:pPr>
        <w:rPr>
          <w:rFonts w:hint="eastAsia"/>
        </w:rPr>
      </w:pPr>
    </w:p>
    <w:bookmarkEnd w:id="256"/>
    <w:bookmarkEnd w:id="257"/>
    <w:bookmarkEnd w:id="258"/>
    <w:p w14:paraId="4166C2C2">
      <w:pPr>
        <w:rPr>
          <w:rStyle w:val="31"/>
          <w:rFonts w:hint="eastAsia" w:ascii="宋体" w:hAnsi="宋体" w:cs="宋体"/>
          <w:color w:val="auto"/>
          <w:highlight w:val="none"/>
        </w:rPr>
      </w:pPr>
      <w:r>
        <w:rPr>
          <w:rStyle w:val="31"/>
          <w:rFonts w:hint="eastAsia" w:ascii="宋体" w:hAnsi="宋体" w:cs="宋体"/>
          <w:color w:val="auto"/>
          <w:highlight w:val="none"/>
        </w:rPr>
        <w:br w:type="page"/>
      </w:r>
    </w:p>
    <w:p w14:paraId="3D34876A">
      <w:pPr>
        <w:pageBreakBefore/>
        <w:jc w:val="center"/>
        <w:rPr>
          <w:rFonts w:hint="eastAsia" w:ascii="宋体" w:hAnsi="宋体" w:cs="宋体"/>
          <w:b/>
          <w:color w:val="auto"/>
          <w:sz w:val="28"/>
          <w:szCs w:val="28"/>
          <w:highlight w:val="none"/>
        </w:rPr>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pPr>
    </w:p>
    <w:p w14:paraId="46339CD6">
      <w:pPr>
        <w:pageBreakBefore/>
        <w:jc w:val="center"/>
        <w:rPr>
          <w:rFonts w:hint="eastAsia" w:ascii="宋体" w:hAnsi="宋体" w:cs="宋体"/>
          <w:b/>
          <w:color w:val="auto"/>
          <w:sz w:val="30"/>
          <w:szCs w:val="30"/>
          <w:highlight w:val="none"/>
        </w:rPr>
      </w:pPr>
      <w:r>
        <w:rPr>
          <w:rFonts w:hint="eastAsia" w:ascii="宋体" w:hAnsi="宋体" w:cs="宋体"/>
          <w:b/>
          <w:color w:val="auto"/>
          <w:sz w:val="28"/>
          <w:szCs w:val="28"/>
          <w:highlight w:val="none"/>
        </w:rPr>
        <w:t>2、报价明细表</w:t>
      </w:r>
    </w:p>
    <w:p w14:paraId="5FFE9D37">
      <w:pPr>
        <w:jc w:val="center"/>
        <w:rPr>
          <w:rFonts w:hint="eastAsia" w:ascii="宋体" w:hAnsi="宋体" w:cs="宋体"/>
          <w:b/>
          <w:color w:val="auto"/>
          <w:sz w:val="24"/>
          <w:highlight w:val="none"/>
        </w:rPr>
      </w:pPr>
    </w:p>
    <w:tbl>
      <w:tblPr>
        <w:tblStyle w:val="22"/>
        <w:tblpPr w:leftFromText="180" w:rightFromText="180" w:vertAnchor="text" w:horzAnchor="page" w:tblpX="761" w:tblpY="463"/>
        <w:tblOverlap w:val="never"/>
        <w:tblW w:w="14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50"/>
        <w:gridCol w:w="2493"/>
        <w:gridCol w:w="2513"/>
        <w:gridCol w:w="1444"/>
        <w:gridCol w:w="2081"/>
        <w:gridCol w:w="2737"/>
      </w:tblGrid>
      <w:tr w14:paraId="5B6A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3" w:type="dxa"/>
            <w:noWrap w:val="0"/>
            <w:vAlign w:val="center"/>
          </w:tcPr>
          <w:p w14:paraId="579EF1F5">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序号</w:t>
            </w:r>
          </w:p>
        </w:tc>
        <w:tc>
          <w:tcPr>
            <w:tcW w:w="2850" w:type="dxa"/>
            <w:noWrap w:val="0"/>
            <w:vAlign w:val="center"/>
          </w:tcPr>
          <w:p w14:paraId="68C0752B">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名称(必须与注册证一致)</w:t>
            </w:r>
          </w:p>
        </w:tc>
        <w:tc>
          <w:tcPr>
            <w:tcW w:w="2493" w:type="dxa"/>
            <w:noWrap w:val="0"/>
            <w:vAlign w:val="center"/>
          </w:tcPr>
          <w:p w14:paraId="794D5E18">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规格型号</w:t>
            </w:r>
          </w:p>
        </w:tc>
        <w:tc>
          <w:tcPr>
            <w:tcW w:w="2513" w:type="dxa"/>
            <w:noWrap w:val="0"/>
            <w:vAlign w:val="center"/>
          </w:tcPr>
          <w:p w14:paraId="5BA4589A">
            <w:pPr>
              <w:jc w:val="center"/>
              <w:rPr>
                <w:rFonts w:hint="default"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生产企业</w:t>
            </w:r>
          </w:p>
        </w:tc>
        <w:tc>
          <w:tcPr>
            <w:tcW w:w="1444" w:type="dxa"/>
            <w:noWrap w:val="0"/>
            <w:vAlign w:val="center"/>
          </w:tcPr>
          <w:p w14:paraId="1DF0C566">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单位</w:t>
            </w:r>
          </w:p>
        </w:tc>
        <w:tc>
          <w:tcPr>
            <w:tcW w:w="2081" w:type="dxa"/>
            <w:noWrap w:val="0"/>
            <w:vAlign w:val="center"/>
          </w:tcPr>
          <w:p w14:paraId="0077A7DE">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报价（元）</w:t>
            </w:r>
          </w:p>
        </w:tc>
        <w:tc>
          <w:tcPr>
            <w:tcW w:w="2737" w:type="dxa"/>
            <w:noWrap w:val="0"/>
            <w:vAlign w:val="center"/>
          </w:tcPr>
          <w:p w14:paraId="3B271BEC">
            <w:pPr>
              <w:jc w:val="center"/>
              <w:rPr>
                <w:rFonts w:hint="eastAsia" w:ascii="宋体" w:hAnsi="宋体" w:eastAsia="宋体" w:cs="宋体"/>
                <w:bCs/>
                <w:color w:val="auto"/>
                <w:kern w:val="2"/>
                <w:sz w:val="22"/>
                <w:szCs w:val="24"/>
                <w:highlight w:val="none"/>
                <w:lang w:val="en-US" w:eastAsia="zh-CN" w:bidi="ar-SA"/>
              </w:rPr>
            </w:pPr>
            <w:r>
              <w:rPr>
                <w:rFonts w:hint="eastAsia" w:ascii="宋体" w:hAnsi="宋体" w:eastAsia="宋体" w:cs="宋体"/>
                <w:bCs/>
                <w:color w:val="auto"/>
                <w:kern w:val="2"/>
                <w:sz w:val="22"/>
                <w:szCs w:val="24"/>
                <w:highlight w:val="none"/>
                <w:lang w:val="en-US" w:eastAsia="zh-CN" w:bidi="ar-SA"/>
              </w:rPr>
              <w:t>注册证号</w:t>
            </w:r>
          </w:p>
        </w:tc>
      </w:tr>
      <w:tr w14:paraId="753A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A8915C3">
            <w:pPr>
              <w:jc w:val="center"/>
              <w:rPr>
                <w:rFonts w:hint="eastAsia" w:ascii="宋体" w:hAnsi="宋体" w:eastAsia="宋体" w:cs="宋体"/>
                <w:bCs/>
                <w:color w:val="auto"/>
                <w:kern w:val="2"/>
                <w:sz w:val="22"/>
                <w:szCs w:val="24"/>
                <w:highlight w:val="none"/>
                <w:lang w:val="en-US" w:eastAsia="zh-CN" w:bidi="ar-SA"/>
              </w:rPr>
            </w:pPr>
          </w:p>
        </w:tc>
        <w:tc>
          <w:tcPr>
            <w:tcW w:w="2850" w:type="dxa"/>
            <w:noWrap w:val="0"/>
            <w:vAlign w:val="center"/>
          </w:tcPr>
          <w:p w14:paraId="3A9B0750">
            <w:pPr>
              <w:rPr>
                <w:rFonts w:hint="eastAsia" w:ascii="宋体" w:hAnsi="宋体" w:eastAsia="宋体" w:cs="宋体"/>
                <w:bCs/>
                <w:color w:val="auto"/>
                <w:kern w:val="2"/>
                <w:sz w:val="22"/>
                <w:szCs w:val="24"/>
                <w:highlight w:val="none"/>
                <w:lang w:val="en-US" w:eastAsia="zh-CN" w:bidi="ar-SA"/>
              </w:rPr>
            </w:pPr>
          </w:p>
        </w:tc>
        <w:tc>
          <w:tcPr>
            <w:tcW w:w="2493" w:type="dxa"/>
            <w:noWrap w:val="0"/>
            <w:vAlign w:val="center"/>
          </w:tcPr>
          <w:p w14:paraId="3FFF7572">
            <w:pPr>
              <w:jc w:val="center"/>
              <w:rPr>
                <w:rFonts w:hint="eastAsia" w:ascii="宋体" w:hAnsi="宋体" w:eastAsia="宋体" w:cs="宋体"/>
                <w:bCs/>
                <w:color w:val="auto"/>
                <w:kern w:val="2"/>
                <w:sz w:val="22"/>
                <w:szCs w:val="24"/>
                <w:highlight w:val="none"/>
                <w:lang w:val="en-US" w:eastAsia="zh-CN" w:bidi="ar-SA"/>
              </w:rPr>
            </w:pPr>
          </w:p>
        </w:tc>
        <w:tc>
          <w:tcPr>
            <w:tcW w:w="2513" w:type="dxa"/>
            <w:noWrap w:val="0"/>
            <w:vAlign w:val="center"/>
          </w:tcPr>
          <w:p w14:paraId="2BB575AA">
            <w:pPr>
              <w:jc w:val="center"/>
              <w:rPr>
                <w:rFonts w:hint="eastAsia" w:ascii="宋体" w:hAnsi="宋体" w:eastAsia="宋体" w:cs="宋体"/>
                <w:bCs/>
                <w:color w:val="auto"/>
                <w:kern w:val="2"/>
                <w:sz w:val="22"/>
                <w:szCs w:val="24"/>
                <w:highlight w:val="none"/>
                <w:lang w:val="en-US" w:eastAsia="zh-CN" w:bidi="ar-SA"/>
              </w:rPr>
            </w:pPr>
          </w:p>
        </w:tc>
        <w:tc>
          <w:tcPr>
            <w:tcW w:w="1444" w:type="dxa"/>
            <w:noWrap w:val="0"/>
            <w:vAlign w:val="center"/>
          </w:tcPr>
          <w:p w14:paraId="0D4B62D1">
            <w:pPr>
              <w:jc w:val="center"/>
              <w:rPr>
                <w:rFonts w:hint="eastAsia" w:ascii="宋体" w:hAnsi="宋体" w:eastAsia="宋体" w:cs="宋体"/>
                <w:bCs/>
                <w:color w:val="auto"/>
                <w:kern w:val="2"/>
                <w:sz w:val="22"/>
                <w:szCs w:val="24"/>
                <w:highlight w:val="none"/>
                <w:lang w:val="en-US" w:eastAsia="zh-CN" w:bidi="ar-SA"/>
              </w:rPr>
            </w:pPr>
          </w:p>
        </w:tc>
        <w:tc>
          <w:tcPr>
            <w:tcW w:w="2081" w:type="dxa"/>
            <w:noWrap w:val="0"/>
            <w:vAlign w:val="center"/>
          </w:tcPr>
          <w:p w14:paraId="239E0D29">
            <w:pPr>
              <w:jc w:val="center"/>
              <w:rPr>
                <w:rFonts w:hint="eastAsia" w:ascii="宋体" w:hAnsi="宋体" w:eastAsia="宋体" w:cs="宋体"/>
                <w:bCs/>
                <w:color w:val="auto"/>
                <w:kern w:val="2"/>
                <w:sz w:val="22"/>
                <w:szCs w:val="24"/>
                <w:highlight w:val="none"/>
                <w:lang w:val="en-US" w:eastAsia="zh-CN" w:bidi="ar-SA"/>
              </w:rPr>
            </w:pPr>
          </w:p>
        </w:tc>
        <w:tc>
          <w:tcPr>
            <w:tcW w:w="2737" w:type="dxa"/>
            <w:noWrap w:val="0"/>
            <w:vAlign w:val="center"/>
          </w:tcPr>
          <w:p w14:paraId="40C7C8A5">
            <w:pPr>
              <w:jc w:val="center"/>
              <w:rPr>
                <w:rFonts w:hint="eastAsia" w:ascii="宋体" w:hAnsi="宋体" w:eastAsia="宋体" w:cs="宋体"/>
                <w:bCs/>
                <w:color w:val="auto"/>
                <w:kern w:val="2"/>
                <w:sz w:val="22"/>
                <w:szCs w:val="24"/>
                <w:highlight w:val="none"/>
                <w:lang w:val="en-US" w:eastAsia="zh-CN" w:bidi="ar-SA"/>
              </w:rPr>
            </w:pPr>
          </w:p>
        </w:tc>
      </w:tr>
      <w:tr w14:paraId="111E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A53A64F">
            <w:pPr>
              <w:jc w:val="center"/>
              <w:rPr>
                <w:rFonts w:hint="eastAsia" w:ascii="宋体" w:hAnsi="宋体" w:eastAsia="宋体" w:cs="宋体"/>
                <w:bCs/>
                <w:color w:val="auto"/>
                <w:kern w:val="2"/>
                <w:sz w:val="22"/>
                <w:szCs w:val="24"/>
                <w:highlight w:val="none"/>
                <w:lang w:val="en-US" w:eastAsia="zh-CN" w:bidi="ar-SA"/>
              </w:rPr>
            </w:pPr>
          </w:p>
        </w:tc>
        <w:tc>
          <w:tcPr>
            <w:tcW w:w="2850" w:type="dxa"/>
            <w:noWrap w:val="0"/>
            <w:vAlign w:val="center"/>
          </w:tcPr>
          <w:p w14:paraId="7518985C">
            <w:pPr>
              <w:rPr>
                <w:rFonts w:hint="eastAsia" w:ascii="宋体" w:hAnsi="宋体" w:eastAsia="宋体" w:cs="宋体"/>
                <w:bCs/>
                <w:color w:val="auto"/>
                <w:kern w:val="2"/>
                <w:sz w:val="22"/>
                <w:szCs w:val="24"/>
                <w:highlight w:val="none"/>
                <w:lang w:val="en-US" w:eastAsia="zh-CN" w:bidi="ar-SA"/>
              </w:rPr>
            </w:pPr>
          </w:p>
        </w:tc>
        <w:tc>
          <w:tcPr>
            <w:tcW w:w="2493" w:type="dxa"/>
            <w:noWrap w:val="0"/>
            <w:vAlign w:val="center"/>
          </w:tcPr>
          <w:p w14:paraId="65002E6A">
            <w:pPr>
              <w:jc w:val="center"/>
              <w:rPr>
                <w:rFonts w:hint="eastAsia" w:ascii="宋体" w:hAnsi="宋体" w:eastAsia="宋体" w:cs="宋体"/>
                <w:bCs/>
                <w:color w:val="auto"/>
                <w:kern w:val="2"/>
                <w:sz w:val="22"/>
                <w:szCs w:val="24"/>
                <w:highlight w:val="none"/>
                <w:lang w:val="en-US" w:eastAsia="zh-CN" w:bidi="ar-SA"/>
              </w:rPr>
            </w:pPr>
          </w:p>
        </w:tc>
        <w:tc>
          <w:tcPr>
            <w:tcW w:w="2513" w:type="dxa"/>
            <w:noWrap w:val="0"/>
            <w:vAlign w:val="center"/>
          </w:tcPr>
          <w:p w14:paraId="07B223D0">
            <w:pPr>
              <w:jc w:val="center"/>
              <w:rPr>
                <w:rFonts w:hint="eastAsia" w:ascii="宋体" w:hAnsi="宋体" w:eastAsia="宋体" w:cs="宋体"/>
                <w:bCs/>
                <w:color w:val="auto"/>
                <w:kern w:val="2"/>
                <w:sz w:val="22"/>
                <w:szCs w:val="24"/>
                <w:highlight w:val="none"/>
                <w:lang w:val="en-US" w:eastAsia="zh-CN" w:bidi="ar-SA"/>
              </w:rPr>
            </w:pPr>
          </w:p>
        </w:tc>
        <w:tc>
          <w:tcPr>
            <w:tcW w:w="1444" w:type="dxa"/>
            <w:noWrap w:val="0"/>
            <w:vAlign w:val="center"/>
          </w:tcPr>
          <w:p w14:paraId="6B8E4D8C">
            <w:pPr>
              <w:jc w:val="center"/>
              <w:rPr>
                <w:rFonts w:hint="eastAsia" w:ascii="宋体" w:hAnsi="宋体" w:eastAsia="宋体" w:cs="宋体"/>
                <w:bCs/>
                <w:color w:val="auto"/>
                <w:kern w:val="2"/>
                <w:sz w:val="22"/>
                <w:szCs w:val="24"/>
                <w:highlight w:val="none"/>
                <w:lang w:val="en-US" w:eastAsia="zh-CN" w:bidi="ar-SA"/>
              </w:rPr>
            </w:pPr>
          </w:p>
        </w:tc>
        <w:tc>
          <w:tcPr>
            <w:tcW w:w="2081" w:type="dxa"/>
            <w:noWrap w:val="0"/>
            <w:vAlign w:val="center"/>
          </w:tcPr>
          <w:p w14:paraId="1B700CBD">
            <w:pPr>
              <w:jc w:val="center"/>
              <w:rPr>
                <w:rFonts w:hint="eastAsia" w:ascii="宋体" w:hAnsi="宋体" w:eastAsia="宋体" w:cs="宋体"/>
                <w:bCs/>
                <w:color w:val="auto"/>
                <w:kern w:val="2"/>
                <w:sz w:val="22"/>
                <w:szCs w:val="24"/>
                <w:highlight w:val="none"/>
                <w:lang w:val="en-US" w:eastAsia="zh-CN" w:bidi="ar-SA"/>
              </w:rPr>
            </w:pPr>
          </w:p>
        </w:tc>
        <w:tc>
          <w:tcPr>
            <w:tcW w:w="2737" w:type="dxa"/>
            <w:noWrap w:val="0"/>
            <w:vAlign w:val="center"/>
          </w:tcPr>
          <w:p w14:paraId="34728E71">
            <w:pPr>
              <w:jc w:val="center"/>
              <w:rPr>
                <w:rFonts w:hint="eastAsia" w:ascii="宋体" w:hAnsi="宋体" w:eastAsia="宋体" w:cs="宋体"/>
                <w:bCs/>
                <w:color w:val="auto"/>
                <w:kern w:val="2"/>
                <w:sz w:val="22"/>
                <w:szCs w:val="24"/>
                <w:highlight w:val="none"/>
                <w:lang w:val="en-US" w:eastAsia="zh-CN" w:bidi="ar-SA"/>
              </w:rPr>
            </w:pPr>
          </w:p>
        </w:tc>
      </w:tr>
      <w:tr w14:paraId="1F36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D37AC4">
            <w:pPr>
              <w:jc w:val="center"/>
              <w:rPr>
                <w:rFonts w:hint="eastAsia" w:ascii="宋体" w:hAnsi="宋体" w:eastAsia="宋体" w:cs="宋体"/>
                <w:bCs/>
                <w:color w:val="auto"/>
                <w:kern w:val="2"/>
                <w:sz w:val="22"/>
                <w:szCs w:val="24"/>
                <w:highlight w:val="none"/>
                <w:lang w:val="en-US" w:eastAsia="zh-CN" w:bidi="ar-SA"/>
              </w:rPr>
            </w:pPr>
          </w:p>
        </w:tc>
        <w:tc>
          <w:tcPr>
            <w:tcW w:w="2850" w:type="dxa"/>
            <w:noWrap w:val="0"/>
            <w:vAlign w:val="center"/>
          </w:tcPr>
          <w:p w14:paraId="6E9A8666">
            <w:pPr>
              <w:rPr>
                <w:rFonts w:hint="eastAsia" w:ascii="宋体" w:hAnsi="宋体" w:eastAsia="宋体" w:cs="宋体"/>
                <w:bCs/>
                <w:color w:val="auto"/>
                <w:kern w:val="2"/>
                <w:sz w:val="22"/>
                <w:szCs w:val="24"/>
                <w:highlight w:val="none"/>
                <w:lang w:val="en-US" w:eastAsia="zh-CN" w:bidi="ar-SA"/>
              </w:rPr>
            </w:pPr>
          </w:p>
        </w:tc>
        <w:tc>
          <w:tcPr>
            <w:tcW w:w="2493" w:type="dxa"/>
            <w:noWrap w:val="0"/>
            <w:vAlign w:val="center"/>
          </w:tcPr>
          <w:p w14:paraId="7D945F2D">
            <w:pPr>
              <w:jc w:val="center"/>
              <w:rPr>
                <w:rFonts w:hint="eastAsia" w:ascii="宋体" w:hAnsi="宋体" w:eastAsia="宋体" w:cs="宋体"/>
                <w:bCs/>
                <w:color w:val="auto"/>
                <w:kern w:val="2"/>
                <w:sz w:val="22"/>
                <w:szCs w:val="24"/>
                <w:highlight w:val="none"/>
                <w:lang w:val="en-US" w:eastAsia="zh-CN" w:bidi="ar-SA"/>
              </w:rPr>
            </w:pPr>
          </w:p>
        </w:tc>
        <w:tc>
          <w:tcPr>
            <w:tcW w:w="2513" w:type="dxa"/>
            <w:noWrap w:val="0"/>
            <w:vAlign w:val="center"/>
          </w:tcPr>
          <w:p w14:paraId="701BB507">
            <w:pPr>
              <w:jc w:val="center"/>
              <w:rPr>
                <w:rFonts w:hint="eastAsia" w:ascii="宋体" w:hAnsi="宋体" w:eastAsia="宋体" w:cs="宋体"/>
                <w:bCs/>
                <w:color w:val="auto"/>
                <w:kern w:val="2"/>
                <w:sz w:val="22"/>
                <w:szCs w:val="24"/>
                <w:highlight w:val="none"/>
                <w:lang w:val="en-US" w:eastAsia="zh-CN" w:bidi="ar-SA"/>
              </w:rPr>
            </w:pPr>
          </w:p>
        </w:tc>
        <w:tc>
          <w:tcPr>
            <w:tcW w:w="1444" w:type="dxa"/>
            <w:noWrap w:val="0"/>
            <w:vAlign w:val="center"/>
          </w:tcPr>
          <w:p w14:paraId="5C7A2BAB">
            <w:pPr>
              <w:jc w:val="center"/>
              <w:rPr>
                <w:rFonts w:hint="eastAsia" w:ascii="宋体" w:hAnsi="宋体" w:eastAsia="宋体" w:cs="宋体"/>
                <w:bCs/>
                <w:color w:val="auto"/>
                <w:kern w:val="2"/>
                <w:sz w:val="22"/>
                <w:szCs w:val="24"/>
                <w:highlight w:val="none"/>
                <w:lang w:val="en-US" w:eastAsia="zh-CN" w:bidi="ar-SA"/>
              </w:rPr>
            </w:pPr>
          </w:p>
        </w:tc>
        <w:tc>
          <w:tcPr>
            <w:tcW w:w="2081" w:type="dxa"/>
            <w:noWrap w:val="0"/>
            <w:vAlign w:val="center"/>
          </w:tcPr>
          <w:p w14:paraId="512C012B">
            <w:pPr>
              <w:jc w:val="center"/>
              <w:rPr>
                <w:rFonts w:hint="eastAsia" w:ascii="宋体" w:hAnsi="宋体" w:eastAsia="宋体" w:cs="宋体"/>
                <w:bCs/>
                <w:color w:val="auto"/>
                <w:kern w:val="2"/>
                <w:sz w:val="22"/>
                <w:szCs w:val="24"/>
                <w:highlight w:val="none"/>
                <w:lang w:val="en-US" w:eastAsia="zh-CN" w:bidi="ar-SA"/>
              </w:rPr>
            </w:pPr>
          </w:p>
        </w:tc>
        <w:tc>
          <w:tcPr>
            <w:tcW w:w="2737" w:type="dxa"/>
            <w:noWrap w:val="0"/>
            <w:vAlign w:val="center"/>
          </w:tcPr>
          <w:p w14:paraId="6B00B853">
            <w:pPr>
              <w:jc w:val="center"/>
              <w:rPr>
                <w:rFonts w:hint="eastAsia" w:ascii="宋体" w:hAnsi="宋体" w:eastAsia="宋体" w:cs="宋体"/>
                <w:bCs/>
                <w:color w:val="auto"/>
                <w:kern w:val="2"/>
                <w:sz w:val="22"/>
                <w:szCs w:val="24"/>
                <w:highlight w:val="none"/>
                <w:lang w:val="en-US" w:eastAsia="zh-CN" w:bidi="ar-SA"/>
              </w:rPr>
            </w:pPr>
          </w:p>
        </w:tc>
      </w:tr>
      <w:tr w14:paraId="3648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56C8380">
            <w:pPr>
              <w:jc w:val="center"/>
              <w:rPr>
                <w:rFonts w:hint="eastAsia" w:ascii="宋体" w:hAnsi="宋体" w:eastAsia="宋体" w:cs="宋体"/>
                <w:bCs/>
                <w:color w:val="auto"/>
                <w:kern w:val="2"/>
                <w:sz w:val="22"/>
                <w:szCs w:val="24"/>
                <w:highlight w:val="none"/>
                <w:lang w:val="en-US" w:eastAsia="zh-CN" w:bidi="ar-SA"/>
              </w:rPr>
            </w:pPr>
          </w:p>
        </w:tc>
        <w:tc>
          <w:tcPr>
            <w:tcW w:w="2850" w:type="dxa"/>
            <w:noWrap w:val="0"/>
            <w:vAlign w:val="center"/>
          </w:tcPr>
          <w:p w14:paraId="60454EC9">
            <w:pPr>
              <w:rPr>
                <w:rFonts w:hint="eastAsia" w:ascii="宋体" w:hAnsi="宋体" w:eastAsia="宋体" w:cs="宋体"/>
                <w:bCs/>
                <w:color w:val="auto"/>
                <w:kern w:val="2"/>
                <w:sz w:val="22"/>
                <w:szCs w:val="24"/>
                <w:highlight w:val="none"/>
                <w:lang w:val="en-US" w:eastAsia="zh-CN" w:bidi="ar-SA"/>
              </w:rPr>
            </w:pPr>
          </w:p>
        </w:tc>
        <w:tc>
          <w:tcPr>
            <w:tcW w:w="2493" w:type="dxa"/>
            <w:noWrap w:val="0"/>
            <w:vAlign w:val="center"/>
          </w:tcPr>
          <w:p w14:paraId="6E845749">
            <w:pPr>
              <w:jc w:val="center"/>
              <w:rPr>
                <w:rFonts w:hint="eastAsia" w:ascii="宋体" w:hAnsi="宋体" w:eastAsia="宋体" w:cs="宋体"/>
                <w:bCs/>
                <w:color w:val="auto"/>
                <w:kern w:val="2"/>
                <w:sz w:val="22"/>
                <w:szCs w:val="24"/>
                <w:highlight w:val="none"/>
                <w:lang w:val="en-US" w:eastAsia="zh-CN" w:bidi="ar-SA"/>
              </w:rPr>
            </w:pPr>
          </w:p>
        </w:tc>
        <w:tc>
          <w:tcPr>
            <w:tcW w:w="2513" w:type="dxa"/>
            <w:noWrap w:val="0"/>
            <w:vAlign w:val="center"/>
          </w:tcPr>
          <w:p w14:paraId="1FB01ACF">
            <w:pPr>
              <w:jc w:val="center"/>
              <w:rPr>
                <w:rFonts w:hint="eastAsia" w:ascii="宋体" w:hAnsi="宋体" w:eastAsia="宋体" w:cs="宋体"/>
                <w:bCs/>
                <w:color w:val="auto"/>
                <w:kern w:val="2"/>
                <w:sz w:val="22"/>
                <w:szCs w:val="24"/>
                <w:highlight w:val="none"/>
                <w:lang w:val="en-US" w:eastAsia="zh-CN" w:bidi="ar-SA"/>
              </w:rPr>
            </w:pPr>
          </w:p>
        </w:tc>
        <w:tc>
          <w:tcPr>
            <w:tcW w:w="1444" w:type="dxa"/>
            <w:noWrap w:val="0"/>
            <w:vAlign w:val="center"/>
          </w:tcPr>
          <w:p w14:paraId="21E52129">
            <w:pPr>
              <w:jc w:val="center"/>
              <w:rPr>
                <w:rFonts w:hint="eastAsia" w:ascii="宋体" w:hAnsi="宋体" w:eastAsia="宋体" w:cs="宋体"/>
                <w:bCs/>
                <w:color w:val="auto"/>
                <w:kern w:val="2"/>
                <w:sz w:val="22"/>
                <w:szCs w:val="24"/>
                <w:highlight w:val="none"/>
                <w:lang w:val="en-US" w:eastAsia="zh-CN" w:bidi="ar-SA"/>
              </w:rPr>
            </w:pPr>
          </w:p>
        </w:tc>
        <w:tc>
          <w:tcPr>
            <w:tcW w:w="2081" w:type="dxa"/>
            <w:noWrap w:val="0"/>
            <w:vAlign w:val="center"/>
          </w:tcPr>
          <w:p w14:paraId="11B7CA6A">
            <w:pPr>
              <w:jc w:val="center"/>
              <w:rPr>
                <w:rFonts w:hint="eastAsia" w:ascii="宋体" w:hAnsi="宋体" w:eastAsia="宋体" w:cs="宋体"/>
                <w:bCs/>
                <w:color w:val="auto"/>
                <w:kern w:val="2"/>
                <w:sz w:val="22"/>
                <w:szCs w:val="24"/>
                <w:highlight w:val="none"/>
                <w:lang w:val="en-US" w:eastAsia="zh-CN" w:bidi="ar-SA"/>
              </w:rPr>
            </w:pPr>
          </w:p>
        </w:tc>
        <w:tc>
          <w:tcPr>
            <w:tcW w:w="2737" w:type="dxa"/>
            <w:noWrap w:val="0"/>
            <w:vAlign w:val="center"/>
          </w:tcPr>
          <w:p w14:paraId="1074BA00">
            <w:pPr>
              <w:jc w:val="center"/>
              <w:rPr>
                <w:rFonts w:hint="eastAsia" w:ascii="宋体" w:hAnsi="宋体" w:eastAsia="宋体" w:cs="宋体"/>
                <w:bCs/>
                <w:color w:val="auto"/>
                <w:kern w:val="2"/>
                <w:sz w:val="22"/>
                <w:szCs w:val="24"/>
                <w:highlight w:val="none"/>
                <w:lang w:val="en-US" w:eastAsia="zh-CN" w:bidi="ar-SA"/>
              </w:rPr>
            </w:pPr>
          </w:p>
        </w:tc>
      </w:tr>
    </w:tbl>
    <w:p w14:paraId="481A9749">
      <w:pPr>
        <w:spacing w:before="194" w:line="185" w:lineRule="auto"/>
        <w:ind w:firstLine="1692"/>
        <w:rPr>
          <w:rFonts w:ascii="宋体" w:hAnsi="宋体" w:cs="宋体"/>
          <w:color w:val="auto"/>
          <w:sz w:val="24"/>
          <w:highlight w:val="none"/>
        </w:rPr>
      </w:pPr>
    </w:p>
    <w:p w14:paraId="682BE812">
      <w:pPr>
        <w:pStyle w:val="11"/>
        <w:keepNext w:val="0"/>
        <w:keepLines w:val="0"/>
        <w:pageBreakBefore w:val="0"/>
        <w:widowControl w:val="0"/>
        <w:numPr>
          <w:ilvl w:val="0"/>
          <w:numId w:val="0"/>
        </w:numPr>
        <w:kinsoku/>
        <w:wordWrap/>
        <w:overflowPunct/>
        <w:topLinePunct w:val="0"/>
        <w:bidi w:val="0"/>
        <w:snapToGrid/>
        <w:spacing w:before="0" w:beforeLines="0" w:after="0" w:afterLines="0"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注：</w:t>
      </w:r>
      <w:r>
        <w:rPr>
          <w:rFonts w:hint="eastAsia" w:hAnsi="宋体" w:cs="宋体"/>
          <w:b/>
          <w:bCs w:val="0"/>
          <w:sz w:val="24"/>
          <w:szCs w:val="24"/>
          <w:lang w:val="en-US" w:eastAsia="zh-CN"/>
        </w:rPr>
        <w:t>1、</w:t>
      </w:r>
      <w:r>
        <w:rPr>
          <w:rFonts w:hint="eastAsia" w:ascii="宋体" w:hAnsi="宋体" w:eastAsia="宋体" w:cs="宋体"/>
          <w:b/>
          <w:bCs w:val="0"/>
          <w:sz w:val="24"/>
          <w:szCs w:val="24"/>
        </w:rPr>
        <w:t>不提供此表格的将视为没有实质性响应</w:t>
      </w:r>
      <w:r>
        <w:rPr>
          <w:rFonts w:hint="eastAsia" w:ascii="宋体" w:hAnsi="宋体" w:eastAsia="宋体" w:cs="宋体"/>
          <w:b/>
          <w:bCs w:val="0"/>
          <w:sz w:val="24"/>
          <w:szCs w:val="24"/>
          <w:lang w:val="en-US" w:eastAsia="zh-CN"/>
        </w:rPr>
        <w:t>采购需求</w:t>
      </w:r>
      <w:r>
        <w:rPr>
          <w:rFonts w:hint="eastAsia" w:ascii="宋体" w:hAnsi="宋体" w:eastAsia="宋体" w:cs="宋体"/>
          <w:b/>
          <w:bCs w:val="0"/>
          <w:sz w:val="24"/>
          <w:szCs w:val="24"/>
        </w:rPr>
        <w:t>。</w:t>
      </w:r>
    </w:p>
    <w:p w14:paraId="144B4BCE">
      <w:pPr>
        <w:ind w:firstLine="482" w:firstLineChars="200"/>
        <w:rPr>
          <w:rFonts w:hint="eastAsia" w:eastAsia="宋体"/>
          <w:lang w:val="en-US" w:eastAsia="zh-CN"/>
        </w:rPr>
      </w:pPr>
      <w:r>
        <w:rPr>
          <w:rFonts w:hint="eastAsia" w:ascii="宋体" w:hAnsi="宋体" w:eastAsia="宋体" w:cs="宋体"/>
          <w:b/>
          <w:bCs w:val="0"/>
          <w:sz w:val="24"/>
          <w:szCs w:val="24"/>
          <w:lang w:val="en-US" w:eastAsia="zh-CN"/>
        </w:rPr>
        <w:t>2、本表的单位需按照采购需求中所给的单位进行报价。</w:t>
      </w:r>
    </w:p>
    <w:p w14:paraId="78DD8D53">
      <w:pPr>
        <w:spacing w:line="360" w:lineRule="auto"/>
        <w:ind w:firstLine="422" w:firstLineChars="200"/>
        <w:jc w:val="left"/>
        <w:rPr>
          <w:rFonts w:hint="eastAsia" w:ascii="宋体" w:hAnsi="宋体" w:cs="宋体"/>
          <w:color w:val="auto"/>
          <w:spacing w:val="20"/>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w:t>
      </w:r>
    </w:p>
    <w:p w14:paraId="13041483">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）：________________________</w:t>
      </w:r>
    </w:p>
    <w:p w14:paraId="10AE3C94">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法定代表人或委托代理人（</w:t>
      </w:r>
      <w:r>
        <w:rPr>
          <w:rFonts w:hint="eastAsia" w:ascii="宋体" w:hAnsi="宋体" w:cs="宋体"/>
          <w:color w:val="auto"/>
          <w:sz w:val="24"/>
          <w:highlight w:val="none"/>
        </w:rPr>
        <w:t>签字或盖章</w:t>
      </w:r>
      <w:r>
        <w:rPr>
          <w:rFonts w:hint="eastAsia" w:ascii="宋体" w:hAnsi="宋体" w:cs="宋体"/>
          <w:bCs/>
          <w:color w:val="auto"/>
          <w:sz w:val="24"/>
          <w:highlight w:val="none"/>
        </w:rPr>
        <w:t>）：__________</w:t>
      </w:r>
    </w:p>
    <w:p w14:paraId="719CE44C">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日期：       年     月     日</w:t>
      </w: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0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C1B9">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4D6C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D4D6C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39D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B7880">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DB7880">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B8D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699DE">
    <w:pPr>
      <w:pStyle w:val="14"/>
    </w:pPr>
    <w:r>
      <w:rPr>
        <w:rFonts w:hint="eastAsia" w:eastAsia="宋体"/>
        <w:lang w:eastAsia="zh-CN"/>
      </w:rPr>
      <w:drawing>
        <wp:anchor distT="0" distB="0" distL="114300" distR="114300" simplePos="0" relativeHeight="251659264" behindDoc="1" locked="0" layoutInCell="1" allowOverlap="1">
          <wp:simplePos x="0" y="0"/>
          <wp:positionH relativeFrom="column">
            <wp:posOffset>-675005</wp:posOffset>
          </wp:positionH>
          <wp:positionV relativeFrom="paragraph">
            <wp:posOffset>-427990</wp:posOffset>
          </wp:positionV>
          <wp:extent cx="815975" cy="797560"/>
          <wp:effectExtent l="0" t="0" r="3175" b="2540"/>
          <wp:wrapNone/>
          <wp:docPr id="9"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087bab0e5a81112a367693f5b7ef5f3"/>
                  <pic:cNvPicPr>
                    <a:picLocks noChangeAspect="1"/>
                  </pic:cNvPicPr>
                </pic:nvPicPr>
                <pic:blipFill>
                  <a:blip r:embed="rId1"/>
                  <a:stretch>
                    <a:fillRect/>
                  </a:stretch>
                </pic:blipFill>
                <pic:spPr>
                  <a:xfrm>
                    <a:off x="0" y="0"/>
                    <a:ext cx="815975" cy="797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96225"/>
    <w:multiLevelType w:val="singleLevel"/>
    <w:tmpl w:val="A9B96225"/>
    <w:lvl w:ilvl="0" w:tentative="0">
      <w:start w:val="4"/>
      <w:numFmt w:val="decimal"/>
      <w:lvlText w:val="%1."/>
      <w:lvlJc w:val="left"/>
      <w:pPr>
        <w:tabs>
          <w:tab w:val="left" w:pos="312"/>
        </w:tabs>
      </w:pPr>
    </w:lvl>
  </w:abstractNum>
  <w:abstractNum w:abstractNumId="1">
    <w:nsid w:val="B3BB097E"/>
    <w:multiLevelType w:val="singleLevel"/>
    <w:tmpl w:val="B3BB097E"/>
    <w:lvl w:ilvl="0" w:tentative="0">
      <w:start w:val="1"/>
      <w:numFmt w:val="chineseCounting"/>
      <w:suff w:val="space"/>
      <w:lvlText w:val="第%1章"/>
      <w:lvlJc w:val="left"/>
      <w:rPr>
        <w:rFonts w:hint="eastAsia"/>
      </w:rPr>
    </w:lvl>
  </w:abstractNum>
  <w:abstractNum w:abstractNumId="2">
    <w:nsid w:val="D63E697C"/>
    <w:multiLevelType w:val="singleLevel"/>
    <w:tmpl w:val="D63E697C"/>
    <w:lvl w:ilvl="0" w:tentative="0">
      <w:start w:val="1"/>
      <w:numFmt w:val="decimal"/>
      <w:lvlText w:val="%1."/>
      <w:lvlJc w:val="left"/>
      <w:pPr>
        <w:tabs>
          <w:tab w:val="left" w:pos="312"/>
        </w:tabs>
      </w:pPr>
    </w:lvl>
  </w:abstractNum>
  <w:abstractNum w:abstractNumId="3">
    <w:nsid w:val="6944C68F"/>
    <w:multiLevelType w:val="singleLevel"/>
    <w:tmpl w:val="6944C68F"/>
    <w:lvl w:ilvl="0" w:tentative="0">
      <w:start w:val="4"/>
      <w:numFmt w:val="chineseCounting"/>
      <w:suff w:val="nothing"/>
      <w:lvlText w:val="%1、"/>
      <w:lvlJc w:val="left"/>
      <w:rPr>
        <w:rFonts w:hint="eastAsia"/>
      </w:rPr>
    </w:lvl>
  </w:abstractNum>
  <w:abstractNum w:abstractNumId="4">
    <w:nsid w:val="7AFCA67C"/>
    <w:multiLevelType w:val="singleLevel"/>
    <w:tmpl w:val="7AFCA67C"/>
    <w:lvl w:ilvl="0" w:tentative="0">
      <w:start w:val="3"/>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OGU1YWE4MTkwYzgxYjRmYjBhMGU1ZDZiNTA1ZDYifQ=="/>
    <w:docVar w:name="KSO_WPS_MARK_KEY" w:val="84edd2e5-adf2-40ab-b8bd-b9b86faafe6e"/>
  </w:docVars>
  <w:rsids>
    <w:rsidRoot w:val="00000000"/>
    <w:rsid w:val="004D0323"/>
    <w:rsid w:val="00677C8E"/>
    <w:rsid w:val="01470E5E"/>
    <w:rsid w:val="014F778E"/>
    <w:rsid w:val="01514167"/>
    <w:rsid w:val="01873E9C"/>
    <w:rsid w:val="019B2F5B"/>
    <w:rsid w:val="01A86D70"/>
    <w:rsid w:val="01B97F5E"/>
    <w:rsid w:val="02A239B9"/>
    <w:rsid w:val="031E451D"/>
    <w:rsid w:val="03DA48E8"/>
    <w:rsid w:val="046E6DDE"/>
    <w:rsid w:val="04E946B7"/>
    <w:rsid w:val="050B3192"/>
    <w:rsid w:val="051C4A8C"/>
    <w:rsid w:val="0571302A"/>
    <w:rsid w:val="05852631"/>
    <w:rsid w:val="05A30D0A"/>
    <w:rsid w:val="05F759DF"/>
    <w:rsid w:val="066C01EC"/>
    <w:rsid w:val="06803346"/>
    <w:rsid w:val="06F51BFA"/>
    <w:rsid w:val="07077E06"/>
    <w:rsid w:val="071F1601"/>
    <w:rsid w:val="07B2792A"/>
    <w:rsid w:val="082276C9"/>
    <w:rsid w:val="08CF1E16"/>
    <w:rsid w:val="09253A16"/>
    <w:rsid w:val="09261A80"/>
    <w:rsid w:val="093852F7"/>
    <w:rsid w:val="09507BAC"/>
    <w:rsid w:val="0A171CC6"/>
    <w:rsid w:val="0A40121D"/>
    <w:rsid w:val="0AF15A9E"/>
    <w:rsid w:val="0B1C425E"/>
    <w:rsid w:val="0B202D61"/>
    <w:rsid w:val="0BC237EE"/>
    <w:rsid w:val="0C197F77"/>
    <w:rsid w:val="0C2B3807"/>
    <w:rsid w:val="0C937688"/>
    <w:rsid w:val="0CB13ACE"/>
    <w:rsid w:val="0E107158"/>
    <w:rsid w:val="0E686F94"/>
    <w:rsid w:val="0E7476E7"/>
    <w:rsid w:val="0EBA3C6A"/>
    <w:rsid w:val="0EC43828"/>
    <w:rsid w:val="0F503CB0"/>
    <w:rsid w:val="0F657B84"/>
    <w:rsid w:val="0FEA1995"/>
    <w:rsid w:val="10066A4A"/>
    <w:rsid w:val="109D6F15"/>
    <w:rsid w:val="10D4446D"/>
    <w:rsid w:val="10E741A0"/>
    <w:rsid w:val="111D60C5"/>
    <w:rsid w:val="126006AE"/>
    <w:rsid w:val="128800B9"/>
    <w:rsid w:val="13313DF9"/>
    <w:rsid w:val="14272889"/>
    <w:rsid w:val="144F21F0"/>
    <w:rsid w:val="146608D1"/>
    <w:rsid w:val="14667AD2"/>
    <w:rsid w:val="14EF5EF7"/>
    <w:rsid w:val="159A247C"/>
    <w:rsid w:val="16077093"/>
    <w:rsid w:val="164976AB"/>
    <w:rsid w:val="171002F5"/>
    <w:rsid w:val="17A0779F"/>
    <w:rsid w:val="17CE3C79"/>
    <w:rsid w:val="18040CDB"/>
    <w:rsid w:val="180D268E"/>
    <w:rsid w:val="1902720A"/>
    <w:rsid w:val="19080F28"/>
    <w:rsid w:val="193208CA"/>
    <w:rsid w:val="19E971DB"/>
    <w:rsid w:val="19EA1D8E"/>
    <w:rsid w:val="1A404921"/>
    <w:rsid w:val="1AAD645B"/>
    <w:rsid w:val="1B6411E3"/>
    <w:rsid w:val="1BB9498B"/>
    <w:rsid w:val="1BE539D2"/>
    <w:rsid w:val="1C12533E"/>
    <w:rsid w:val="1C4412A1"/>
    <w:rsid w:val="1C563F8B"/>
    <w:rsid w:val="1C8C12EA"/>
    <w:rsid w:val="1C99656B"/>
    <w:rsid w:val="1CB86F6A"/>
    <w:rsid w:val="1D4604A0"/>
    <w:rsid w:val="1E104249"/>
    <w:rsid w:val="1E364C20"/>
    <w:rsid w:val="1F15637C"/>
    <w:rsid w:val="1F330651"/>
    <w:rsid w:val="1F3C5FFF"/>
    <w:rsid w:val="1FAD4807"/>
    <w:rsid w:val="1FF16DE9"/>
    <w:rsid w:val="203B391C"/>
    <w:rsid w:val="20513760"/>
    <w:rsid w:val="2059238D"/>
    <w:rsid w:val="20F3093F"/>
    <w:rsid w:val="221C2118"/>
    <w:rsid w:val="223368D8"/>
    <w:rsid w:val="22A36B44"/>
    <w:rsid w:val="22C94593"/>
    <w:rsid w:val="22EA3023"/>
    <w:rsid w:val="22F95FB5"/>
    <w:rsid w:val="232A43C0"/>
    <w:rsid w:val="232A616E"/>
    <w:rsid w:val="23621DAC"/>
    <w:rsid w:val="23DE26FF"/>
    <w:rsid w:val="246955F7"/>
    <w:rsid w:val="24753222"/>
    <w:rsid w:val="24802C91"/>
    <w:rsid w:val="24831FDA"/>
    <w:rsid w:val="24AC45F0"/>
    <w:rsid w:val="24BA37EF"/>
    <w:rsid w:val="24DB0068"/>
    <w:rsid w:val="255641C8"/>
    <w:rsid w:val="25700DFA"/>
    <w:rsid w:val="262477ED"/>
    <w:rsid w:val="264D6D44"/>
    <w:rsid w:val="26D1527F"/>
    <w:rsid w:val="283D69F1"/>
    <w:rsid w:val="285443B9"/>
    <w:rsid w:val="28746A23"/>
    <w:rsid w:val="2A2953D2"/>
    <w:rsid w:val="2A9A007E"/>
    <w:rsid w:val="2B397896"/>
    <w:rsid w:val="2BD85CA6"/>
    <w:rsid w:val="2BF849F8"/>
    <w:rsid w:val="2C46307E"/>
    <w:rsid w:val="2C5F31FE"/>
    <w:rsid w:val="2C7843EE"/>
    <w:rsid w:val="2C9A6113"/>
    <w:rsid w:val="2D834DF9"/>
    <w:rsid w:val="2DB704B0"/>
    <w:rsid w:val="2E4F2F2D"/>
    <w:rsid w:val="2F3A17C1"/>
    <w:rsid w:val="2FF67B04"/>
    <w:rsid w:val="30887EF2"/>
    <w:rsid w:val="30CE49EB"/>
    <w:rsid w:val="312C5DEC"/>
    <w:rsid w:val="3133281E"/>
    <w:rsid w:val="31660CB9"/>
    <w:rsid w:val="31866751"/>
    <w:rsid w:val="31C679AA"/>
    <w:rsid w:val="31FC517A"/>
    <w:rsid w:val="321F61DB"/>
    <w:rsid w:val="32395FBA"/>
    <w:rsid w:val="32456A70"/>
    <w:rsid w:val="32BB245B"/>
    <w:rsid w:val="32DC18F4"/>
    <w:rsid w:val="32FA6BE3"/>
    <w:rsid w:val="33423060"/>
    <w:rsid w:val="334E7C57"/>
    <w:rsid w:val="341964B7"/>
    <w:rsid w:val="354D468D"/>
    <w:rsid w:val="356E1894"/>
    <w:rsid w:val="35F04FF6"/>
    <w:rsid w:val="36533F02"/>
    <w:rsid w:val="36EA7C97"/>
    <w:rsid w:val="370E1BD7"/>
    <w:rsid w:val="37425D25"/>
    <w:rsid w:val="375A306E"/>
    <w:rsid w:val="37C42E82"/>
    <w:rsid w:val="3842527F"/>
    <w:rsid w:val="384E2773"/>
    <w:rsid w:val="38877E93"/>
    <w:rsid w:val="38D01CAD"/>
    <w:rsid w:val="3AB030D6"/>
    <w:rsid w:val="3B514CC7"/>
    <w:rsid w:val="3B873C23"/>
    <w:rsid w:val="3B8C44D6"/>
    <w:rsid w:val="3BD72EE0"/>
    <w:rsid w:val="3BDB2F3B"/>
    <w:rsid w:val="3BE9676F"/>
    <w:rsid w:val="3CF32796"/>
    <w:rsid w:val="3CF655E7"/>
    <w:rsid w:val="3D347EBE"/>
    <w:rsid w:val="3D420825"/>
    <w:rsid w:val="3E815973"/>
    <w:rsid w:val="3ED933C2"/>
    <w:rsid w:val="3FB80293"/>
    <w:rsid w:val="3FFA53EF"/>
    <w:rsid w:val="405C7E57"/>
    <w:rsid w:val="410F38AF"/>
    <w:rsid w:val="4137363C"/>
    <w:rsid w:val="413D1A37"/>
    <w:rsid w:val="41866A28"/>
    <w:rsid w:val="41A575DC"/>
    <w:rsid w:val="42013D4A"/>
    <w:rsid w:val="42061D16"/>
    <w:rsid w:val="42602158"/>
    <w:rsid w:val="429531AD"/>
    <w:rsid w:val="432F3601"/>
    <w:rsid w:val="43456981"/>
    <w:rsid w:val="43925BB5"/>
    <w:rsid w:val="43E0673E"/>
    <w:rsid w:val="445A46AE"/>
    <w:rsid w:val="44D533DB"/>
    <w:rsid w:val="45513D03"/>
    <w:rsid w:val="457048AD"/>
    <w:rsid w:val="45BB7A4E"/>
    <w:rsid w:val="45DD5596"/>
    <w:rsid w:val="46405B25"/>
    <w:rsid w:val="46D17EFA"/>
    <w:rsid w:val="471C3E9C"/>
    <w:rsid w:val="47C01593"/>
    <w:rsid w:val="47DB3D58"/>
    <w:rsid w:val="48C324D1"/>
    <w:rsid w:val="48DF5F5E"/>
    <w:rsid w:val="4916491B"/>
    <w:rsid w:val="498D2E30"/>
    <w:rsid w:val="49C152CA"/>
    <w:rsid w:val="49CE6F32"/>
    <w:rsid w:val="4A7364C9"/>
    <w:rsid w:val="4AE253FD"/>
    <w:rsid w:val="4B433A91"/>
    <w:rsid w:val="4B6A7C20"/>
    <w:rsid w:val="4B72052F"/>
    <w:rsid w:val="4BAF1783"/>
    <w:rsid w:val="4BE858C8"/>
    <w:rsid w:val="4CBD494A"/>
    <w:rsid w:val="4CDE39A2"/>
    <w:rsid w:val="4CEA67EB"/>
    <w:rsid w:val="4DB52D78"/>
    <w:rsid w:val="4DDF3E76"/>
    <w:rsid w:val="4DE4517F"/>
    <w:rsid w:val="4E157897"/>
    <w:rsid w:val="4E9C52E5"/>
    <w:rsid w:val="4F711F6A"/>
    <w:rsid w:val="4F980780"/>
    <w:rsid w:val="4FB24737"/>
    <w:rsid w:val="4FCF16E1"/>
    <w:rsid w:val="4FE92D8A"/>
    <w:rsid w:val="4FFF246A"/>
    <w:rsid w:val="502142D2"/>
    <w:rsid w:val="50C25AB5"/>
    <w:rsid w:val="50CE26AB"/>
    <w:rsid w:val="51177FF0"/>
    <w:rsid w:val="5151508A"/>
    <w:rsid w:val="51CB6BEB"/>
    <w:rsid w:val="520E5D83"/>
    <w:rsid w:val="52737C53"/>
    <w:rsid w:val="5295250F"/>
    <w:rsid w:val="52C22EFB"/>
    <w:rsid w:val="534C5D8A"/>
    <w:rsid w:val="53933738"/>
    <w:rsid w:val="5438608E"/>
    <w:rsid w:val="546D5D37"/>
    <w:rsid w:val="55B1434A"/>
    <w:rsid w:val="55E53FF3"/>
    <w:rsid w:val="56A53E84"/>
    <w:rsid w:val="56BC0927"/>
    <w:rsid w:val="576176AA"/>
    <w:rsid w:val="5771299E"/>
    <w:rsid w:val="57D04F5B"/>
    <w:rsid w:val="585459B6"/>
    <w:rsid w:val="5966488F"/>
    <w:rsid w:val="59EC6385"/>
    <w:rsid w:val="59F06B02"/>
    <w:rsid w:val="5A16575C"/>
    <w:rsid w:val="5B2044BE"/>
    <w:rsid w:val="5B823C38"/>
    <w:rsid w:val="5BB50FDB"/>
    <w:rsid w:val="5C2E4269"/>
    <w:rsid w:val="5C384E7D"/>
    <w:rsid w:val="5C70214B"/>
    <w:rsid w:val="5CB77ED9"/>
    <w:rsid w:val="5D073323"/>
    <w:rsid w:val="5D2E6280"/>
    <w:rsid w:val="5D3D7808"/>
    <w:rsid w:val="5D610403"/>
    <w:rsid w:val="5D704AEA"/>
    <w:rsid w:val="5D731EE5"/>
    <w:rsid w:val="5E110BFB"/>
    <w:rsid w:val="5EE906B0"/>
    <w:rsid w:val="5F2E07B9"/>
    <w:rsid w:val="5F4A33E1"/>
    <w:rsid w:val="5F85487D"/>
    <w:rsid w:val="5F8623A3"/>
    <w:rsid w:val="603D6F06"/>
    <w:rsid w:val="60C2740B"/>
    <w:rsid w:val="61154AB0"/>
    <w:rsid w:val="61642F18"/>
    <w:rsid w:val="61A84853"/>
    <w:rsid w:val="626F5370"/>
    <w:rsid w:val="637B0605"/>
    <w:rsid w:val="648C220A"/>
    <w:rsid w:val="651450B4"/>
    <w:rsid w:val="66462874"/>
    <w:rsid w:val="66D6776C"/>
    <w:rsid w:val="66FD119D"/>
    <w:rsid w:val="670047E9"/>
    <w:rsid w:val="681A5D43"/>
    <w:rsid w:val="68F95994"/>
    <w:rsid w:val="6954706E"/>
    <w:rsid w:val="6A570BC4"/>
    <w:rsid w:val="6A625C4D"/>
    <w:rsid w:val="6AD97004"/>
    <w:rsid w:val="6AE0505D"/>
    <w:rsid w:val="6AEE1930"/>
    <w:rsid w:val="6B043893"/>
    <w:rsid w:val="6B417F70"/>
    <w:rsid w:val="6B9D6AAA"/>
    <w:rsid w:val="6BE20961"/>
    <w:rsid w:val="6C1A1C0B"/>
    <w:rsid w:val="6C3C1890"/>
    <w:rsid w:val="6C7C0DB6"/>
    <w:rsid w:val="6CEF1588"/>
    <w:rsid w:val="6D061E46"/>
    <w:rsid w:val="6E3A23FB"/>
    <w:rsid w:val="6E546AEE"/>
    <w:rsid w:val="6EB56801"/>
    <w:rsid w:val="6EDC3D8E"/>
    <w:rsid w:val="6F4F27B2"/>
    <w:rsid w:val="70A02B99"/>
    <w:rsid w:val="70D867D7"/>
    <w:rsid w:val="70DA4CC5"/>
    <w:rsid w:val="711F7F62"/>
    <w:rsid w:val="71442AE2"/>
    <w:rsid w:val="716A4F20"/>
    <w:rsid w:val="72987FCC"/>
    <w:rsid w:val="73497C39"/>
    <w:rsid w:val="73740A39"/>
    <w:rsid w:val="73795667"/>
    <w:rsid w:val="739C7F8F"/>
    <w:rsid w:val="74167E71"/>
    <w:rsid w:val="743F3BD4"/>
    <w:rsid w:val="745E5245"/>
    <w:rsid w:val="747D2FAD"/>
    <w:rsid w:val="74B60BDD"/>
    <w:rsid w:val="74CC21AE"/>
    <w:rsid w:val="75071737"/>
    <w:rsid w:val="753A6D9B"/>
    <w:rsid w:val="7550098B"/>
    <w:rsid w:val="7563093F"/>
    <w:rsid w:val="75952EE8"/>
    <w:rsid w:val="75A2437B"/>
    <w:rsid w:val="764C53C8"/>
    <w:rsid w:val="76764AC8"/>
    <w:rsid w:val="775F555C"/>
    <w:rsid w:val="77B768B4"/>
    <w:rsid w:val="77DF7628"/>
    <w:rsid w:val="786F5C73"/>
    <w:rsid w:val="78745037"/>
    <w:rsid w:val="792702FB"/>
    <w:rsid w:val="79BD656A"/>
    <w:rsid w:val="7A432165"/>
    <w:rsid w:val="7A7B26AD"/>
    <w:rsid w:val="7A852E0F"/>
    <w:rsid w:val="7C067BE7"/>
    <w:rsid w:val="7C3A0345"/>
    <w:rsid w:val="7C4B60AF"/>
    <w:rsid w:val="7C653614"/>
    <w:rsid w:val="7C7002C3"/>
    <w:rsid w:val="7CC50349"/>
    <w:rsid w:val="7D331C14"/>
    <w:rsid w:val="7D6E74E0"/>
    <w:rsid w:val="7DA168CE"/>
    <w:rsid w:val="7DD50326"/>
    <w:rsid w:val="7DE35BEB"/>
    <w:rsid w:val="7E013F77"/>
    <w:rsid w:val="7E026C41"/>
    <w:rsid w:val="7E2412AD"/>
    <w:rsid w:val="7E866965"/>
    <w:rsid w:val="7F47709A"/>
    <w:rsid w:val="7F671451"/>
    <w:rsid w:val="7FA04F6D"/>
    <w:rsid w:val="7FE9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adjustRightInd w:val="0"/>
      <w:snapToGrid w:val="0"/>
      <w:spacing w:beforeLines="0" w:line="360" w:lineRule="auto"/>
      <w:jc w:val="center"/>
      <w:textAlignment w:val="baseline"/>
      <w:outlineLvl w:val="0"/>
    </w:pPr>
    <w:rPr>
      <w:rFonts w:ascii="Times New Roman" w:hAnsi="Times New Roman" w:eastAsia="宋体"/>
      <w:b/>
      <w:bCs/>
      <w:kern w:val="44"/>
      <w:sz w:val="36"/>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120" w:after="120" w:line="360" w:lineRule="auto"/>
      <w:ind w:firstLine="200" w:firstLineChars="200"/>
      <w:jc w:val="center"/>
      <w:outlineLvl w:val="2"/>
    </w:pPr>
    <w:rPr>
      <w:rFonts w:ascii="宋体"/>
      <w:b/>
      <w:bCs/>
      <w:sz w:val="24"/>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1"/>
    </w:rPr>
  </w:style>
  <w:style w:type="paragraph" w:styleId="6">
    <w:name w:val="Body Text"/>
    <w:basedOn w:val="1"/>
    <w:next w:val="7"/>
    <w:unhideWhenUsed/>
    <w:qFormat/>
    <w:uiPriority w:val="0"/>
    <w:pPr>
      <w:spacing w:after="120" w:line="273" w:lineRule="auto"/>
    </w:pPr>
    <w:rPr>
      <w:rFonts w:ascii="Calibri" w:hAnsi="Calibri" w:eastAsia="宋体" w:cs="Times New Roman"/>
      <w:szCs w:val="21"/>
    </w:rPr>
  </w:style>
  <w:style w:type="paragraph" w:styleId="7">
    <w:name w:val="Date"/>
    <w:basedOn w:val="1"/>
    <w:next w:val="1"/>
    <w:unhideWhenUsed/>
    <w:qFormat/>
    <w:uiPriority w:val="0"/>
    <w:pPr>
      <w:ind w:left="100" w:leftChars="2500"/>
    </w:pPr>
    <w:rPr>
      <w:rFonts w:eastAsia="楷体_GB2312"/>
      <w:sz w:val="48"/>
      <w:szCs w:val="24"/>
    </w:rPr>
  </w:style>
  <w:style w:type="paragraph" w:styleId="8">
    <w:name w:val="Body Text Indent"/>
    <w:basedOn w:val="1"/>
    <w:next w:val="9"/>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spacing w:val="12"/>
      <w:kern w:val="0"/>
      <w:sz w:val="24"/>
    </w:rPr>
  </w:style>
  <w:style w:type="paragraph" w:styleId="9">
    <w:name w:val="Body Text First Indent 2"/>
    <w:basedOn w:val="8"/>
    <w:next w:val="1"/>
    <w:qFormat/>
    <w:uiPriority w:val="0"/>
    <w:pPr>
      <w:ind w:firstLine="560"/>
      <w:jc w:val="left"/>
    </w:pPr>
    <w:rPr>
      <w:rFonts w:eastAsia="仿宋" w:cs="仿宋"/>
      <w:sz w:val="28"/>
    </w:rPr>
  </w:style>
  <w:style w:type="paragraph" w:styleId="10">
    <w:name w:val="Block Text"/>
    <w:basedOn w:val="1"/>
    <w:qFormat/>
    <w:uiPriority w:val="0"/>
    <w:pPr>
      <w:spacing w:after="120"/>
      <w:ind w:left="1440" w:leftChars="700" w:right="700" w:rightChars="700"/>
    </w:pPr>
  </w:style>
  <w:style w:type="paragraph" w:styleId="11">
    <w:name w:val="Plain Text"/>
    <w:basedOn w:val="1"/>
    <w:next w:val="1"/>
    <w:qFormat/>
    <w:uiPriority w:val="0"/>
    <w:pPr>
      <w:spacing w:before="156" w:beforeLines="50" w:after="156" w:afterLines="50" w:line="400" w:lineRule="exact"/>
    </w:pPr>
    <w:rPr>
      <w:rFonts w:ascii="宋体" w:hAnsi="Courier New" w:eastAsia="宋体"/>
      <w:kern w:val="2"/>
      <w:sz w:val="24"/>
      <w:szCs w:val="24"/>
      <w:lang w:val="en-US" w:eastAsia="zh-CN" w:bidi="ar-SA"/>
    </w:rPr>
  </w:style>
  <w:style w:type="paragraph" w:styleId="12">
    <w:name w:val="Body Text Indent 2"/>
    <w:basedOn w:val="1"/>
    <w:qFormat/>
    <w:uiPriority w:val="0"/>
    <w:pPr>
      <w:snapToGrid w:val="0"/>
      <w:ind w:firstLine="542" w:firstLineChars="225"/>
    </w:pPr>
    <w:rPr>
      <w:rFonts w:ascii="仿宋_GB2312" w:hAnsi="宋体" w:cs="Arial"/>
      <w:b/>
      <w:bCs/>
      <w:color w:val="000000"/>
      <w:sz w:val="24"/>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before="360"/>
      <w:jc w:val="left"/>
    </w:pPr>
    <w:rPr>
      <w:rFonts w:ascii="Arial" w:hAnsi="Arial" w:cs="Times New Roman"/>
      <w:b/>
      <w:caps/>
      <w:szCs w:val="21"/>
    </w:rPr>
  </w:style>
  <w:style w:type="paragraph" w:styleId="16">
    <w:name w:val="List"/>
    <w:basedOn w:val="1"/>
    <w:qFormat/>
    <w:uiPriority w:val="0"/>
    <w:pPr>
      <w:ind w:left="200" w:hanging="200" w:hangingChars="200"/>
    </w:pPr>
  </w:style>
  <w:style w:type="paragraph" w:styleId="17">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8">
    <w:name w:val="Body Text 2"/>
    <w:basedOn w:val="1"/>
    <w:qFormat/>
    <w:uiPriority w:val="0"/>
    <w:pPr>
      <w:spacing w:after="120" w:line="480" w:lineRule="auto"/>
    </w:pPr>
  </w:style>
  <w:style w:type="paragraph" w:styleId="1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w:basedOn w:val="6"/>
    <w:next w:val="1"/>
    <w:qFormat/>
    <w:uiPriority w:val="0"/>
    <w:pPr>
      <w:spacing w:line="312" w:lineRule="auto"/>
      <w:ind w:firstLine="42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首行缩进"/>
    <w:basedOn w:val="1"/>
    <w:qFormat/>
    <w:uiPriority w:val="0"/>
    <w:pPr>
      <w:spacing w:line="300" w:lineRule="auto"/>
      <w:ind w:firstLine="420" w:firstLineChars="200"/>
    </w:pPr>
    <w:rPr>
      <w:rFonts w:ascii="Times New Roman" w:hAnsi="Times New Roman" w:eastAsia="方正书宋简体"/>
    </w:rPr>
  </w:style>
  <w:style w:type="paragraph" w:customStyle="1" w:styleId="26">
    <w:name w:val="一级条标题"/>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27">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28">
    <w:name w:val="15"/>
    <w:basedOn w:val="24"/>
    <w:qFormat/>
    <w:uiPriority w:val="0"/>
    <w:rPr>
      <w:rFonts w:hint="default" w:ascii="Times New Roman" w:hAnsi="Times New Roman" w:cs="Times New Roman"/>
      <w:b/>
    </w:rPr>
  </w:style>
  <w:style w:type="character" w:customStyle="1" w:styleId="29">
    <w:name w:val="17"/>
    <w:basedOn w:val="24"/>
    <w:qFormat/>
    <w:uiPriority w:val="0"/>
    <w:rPr>
      <w:rFonts w:hint="default" w:ascii="Times New Roman" w:hAnsi="Times New Roman" w:cs="Times New Roman"/>
    </w:rPr>
  </w:style>
  <w:style w:type="paragraph" w:customStyle="1" w:styleId="30">
    <w:name w:val="p0"/>
    <w:basedOn w:val="1"/>
    <w:qFormat/>
    <w:uiPriority w:val="0"/>
    <w:pPr>
      <w:widowControl/>
    </w:pPr>
    <w:rPr>
      <w:kern w:val="0"/>
      <w:szCs w:val="21"/>
    </w:rPr>
  </w:style>
  <w:style w:type="character" w:customStyle="1" w:styleId="31">
    <w:name w:val="标题 1 字符"/>
    <w:link w:val="2"/>
    <w:qFormat/>
    <w:uiPriority w:val="0"/>
    <w:rPr>
      <w:rFonts w:ascii="Times New Roman" w:hAnsi="Times New Roman" w:eastAsia="宋体"/>
      <w:b/>
      <w:bCs/>
      <w:kern w:val="44"/>
      <w:sz w:val="36"/>
    </w:rPr>
  </w:style>
  <w:style w:type="paragraph" w:styleId="32">
    <w:name w:val="List Paragraph"/>
    <w:basedOn w:val="1"/>
    <w:qFormat/>
    <w:uiPriority w:val="1"/>
    <w:pPr>
      <w:autoSpaceDE w:val="0"/>
      <w:autoSpaceDN w:val="0"/>
      <w:adjustRightInd w:val="0"/>
      <w:ind w:left="418"/>
      <w:jc w:val="left"/>
    </w:pPr>
    <w:rPr>
      <w:rFonts w:ascii="宋体" w:hAnsi="Times New Roman" w:cs="宋体"/>
      <w:kern w:val="0"/>
      <w:sz w:val="24"/>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character" w:customStyle="1" w:styleId="35">
    <w:name w:val="NormalCharacter"/>
    <w:semiHidden/>
    <w:qFormat/>
    <w:uiPriority w:val="0"/>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8">
    <w:name w:val="grame"/>
    <w:qFormat/>
    <w:uiPriority w:val="0"/>
  </w:style>
  <w:style w:type="paragraph" w:customStyle="1" w:styleId="39">
    <w:name w:val="正文标题"/>
    <w:basedOn w:val="1"/>
    <w:qFormat/>
    <w:uiPriority w:val="0"/>
    <w:pPr>
      <w:jc w:val="center"/>
    </w:pPr>
    <w:rPr>
      <w:rFonts w:ascii="Times New Roman" w:hAnsi="Times New Roman" w:eastAsia="宋体" w:cs="Times New Roman"/>
      <w:sz w:val="28"/>
    </w:rPr>
  </w:style>
  <w:style w:type="paragraph" w:customStyle="1" w:styleId="4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190</Words>
  <Characters>221</Characters>
  <Lines>0</Lines>
  <Paragraphs>0</Paragraphs>
  <TotalTime>16</TotalTime>
  <ScaleCrop>false</ScaleCrop>
  <LinksUpToDate>false</LinksUpToDate>
  <CharactersWithSpaces>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2025-03-06T02:14:00Z</dcterms:created>
  <dc:creator>Administrator</dc:creator>
  <cp:lastModifiedBy>WPS-7958</cp:lastModifiedBy>
  <dcterms:modified xsi:type="dcterms:W3CDTF">2025-11-06T01:37:48Z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79DAEB05955844A2BEAD188469EB466E</vt:lpwstr>
  </property>
  <property fmtid="{D5CDD505-2E9C-101B-9397-08002B2CF9AE}" pid="4" name="KSOTemplateDocerSaveRecord">
    <vt:lpwstr>eyJoZGlkIjoiMmIyMDA1YzQ5ZmRiZTJlMWJlYzcwYjRlZGJjM2FlNjAiLCJ1c2VySWQiOiIxMjE2NzE5MTE3In0=</vt:lpwstr>
  </property>
</Properties>
</file>